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D49B" w14:textId="5247823E" w:rsidR="005A5A80" w:rsidRPr="00B655CD" w:rsidRDefault="00EF0BDA" w:rsidP="00A55BAF">
      <w:pPr>
        <w:tabs>
          <w:tab w:val="left" w:pos="5670"/>
        </w:tabs>
        <w:spacing w:after="0" w:line="240" w:lineRule="auto"/>
        <w:jc w:val="center"/>
        <w:rPr>
          <w:rFonts w:asciiTheme="majorBidi" w:hAnsiTheme="majorBidi" w:cstheme="majorBidi"/>
          <w:b/>
          <w:bCs/>
          <w:sz w:val="32"/>
          <w:szCs w:val="32"/>
        </w:rPr>
      </w:pPr>
      <w:r>
        <w:rPr>
          <w:rFonts w:asciiTheme="majorBidi" w:hAnsiTheme="majorBidi" w:cstheme="majorBidi"/>
          <w:noProof/>
          <w:sz w:val="24"/>
          <w:szCs w:val="24"/>
        </w:rPr>
        <w:drawing>
          <wp:anchor distT="0" distB="0" distL="114300" distR="114300" simplePos="0" relativeHeight="251658240" behindDoc="0" locked="0" layoutInCell="1" allowOverlap="1" wp14:anchorId="741537C0" wp14:editId="4A0C1585">
            <wp:simplePos x="0" y="0"/>
            <wp:positionH relativeFrom="margin">
              <wp:align>center</wp:align>
            </wp:positionH>
            <wp:positionV relativeFrom="topMargin">
              <wp:posOffset>109032</wp:posOffset>
            </wp:positionV>
            <wp:extent cx="1036320" cy="7467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TA Logo.png"/>
                    <pic:cNvPicPr/>
                  </pic:nvPicPr>
                  <pic:blipFill>
                    <a:blip r:embed="rId8">
                      <a:extLst>
                        <a:ext uri="{28A0092B-C50C-407E-A947-70E740481C1C}">
                          <a14:useLocalDpi xmlns:a14="http://schemas.microsoft.com/office/drawing/2010/main" val="0"/>
                        </a:ext>
                      </a:extLst>
                    </a:blip>
                    <a:stretch>
                      <a:fillRect/>
                    </a:stretch>
                  </pic:blipFill>
                  <pic:spPr>
                    <a:xfrm>
                      <a:off x="0" y="0"/>
                      <a:ext cx="1036320" cy="746760"/>
                    </a:xfrm>
                    <a:prstGeom prst="rect">
                      <a:avLst/>
                    </a:prstGeom>
                  </pic:spPr>
                </pic:pic>
              </a:graphicData>
            </a:graphic>
            <wp14:sizeRelH relativeFrom="margin">
              <wp14:pctWidth>0</wp14:pctWidth>
            </wp14:sizeRelH>
            <wp14:sizeRelV relativeFrom="margin">
              <wp14:pctHeight>0</wp14:pctHeight>
            </wp14:sizeRelV>
          </wp:anchor>
        </w:drawing>
      </w:r>
      <w:r w:rsidR="00BF65DD" w:rsidRPr="00BF65DD">
        <w:t xml:space="preserve"> </w:t>
      </w:r>
      <w:r w:rsidR="00BF65DD" w:rsidRPr="00BF65DD">
        <w:rPr>
          <w:rFonts w:asciiTheme="majorBidi" w:hAnsiTheme="majorBidi" w:cstheme="majorBidi"/>
          <w:b/>
          <w:bCs/>
          <w:sz w:val="32"/>
          <w:szCs w:val="32"/>
        </w:rPr>
        <w:t>Assessing Data Quality of the</w:t>
      </w:r>
      <w:r w:rsidR="00A55BAF">
        <w:rPr>
          <w:rFonts w:asciiTheme="majorBidi" w:hAnsiTheme="majorBidi" w:cstheme="majorBidi"/>
          <w:b/>
          <w:bCs/>
          <w:sz w:val="32"/>
          <w:szCs w:val="32"/>
        </w:rPr>
        <w:t xml:space="preserve"> Households Surveys Carried Out </w:t>
      </w:r>
      <w:r w:rsidR="00BF65DD" w:rsidRPr="00BF65DD">
        <w:rPr>
          <w:rFonts w:asciiTheme="majorBidi" w:hAnsiTheme="majorBidi" w:cstheme="majorBidi"/>
          <w:b/>
          <w:bCs/>
          <w:sz w:val="32"/>
          <w:szCs w:val="32"/>
        </w:rPr>
        <w:t>during COVID – 19 Pandemic Using Computer Assisted Telephone Interview Mode of Data Collection</w:t>
      </w:r>
      <w:r w:rsidR="00A55BAF">
        <w:rPr>
          <w:rFonts w:asciiTheme="majorBidi" w:hAnsiTheme="majorBidi" w:cstheme="majorBidi" w:hint="cs"/>
          <w:b/>
          <w:bCs/>
          <w:sz w:val="32"/>
          <w:szCs w:val="32"/>
          <w:rtl/>
        </w:rPr>
        <w:t xml:space="preserve"> - </w:t>
      </w:r>
      <w:r w:rsidR="00BF65DD">
        <w:rPr>
          <w:rFonts w:asciiTheme="majorBidi" w:hAnsiTheme="majorBidi" w:cstheme="majorBidi"/>
          <w:b/>
          <w:bCs/>
          <w:sz w:val="32"/>
          <w:szCs w:val="32"/>
        </w:rPr>
        <w:t>Palestine Case</w:t>
      </w:r>
    </w:p>
    <w:p w14:paraId="1272015F" w14:textId="77777777" w:rsidR="005A5A80" w:rsidRDefault="005A5A80" w:rsidP="005A5A80">
      <w:pPr>
        <w:spacing w:after="0" w:line="240" w:lineRule="auto"/>
        <w:ind w:left="-1077" w:right="-1412"/>
        <w:contextualSpacing/>
        <w:jc w:val="center"/>
        <w:rPr>
          <w:rFonts w:asciiTheme="majorBidi" w:hAnsiTheme="majorBidi" w:cstheme="majorBidi"/>
          <w:sz w:val="24"/>
          <w:szCs w:val="24"/>
        </w:rPr>
      </w:pPr>
    </w:p>
    <w:p w14:paraId="3AAB62CB" w14:textId="77777777" w:rsidR="005A5A80" w:rsidRPr="00B655CD" w:rsidRDefault="005A5A80" w:rsidP="005A5A80">
      <w:pPr>
        <w:spacing w:after="0" w:line="240" w:lineRule="auto"/>
        <w:ind w:left="-1077" w:right="-1412"/>
        <w:contextualSpacing/>
        <w:jc w:val="center"/>
        <w:rPr>
          <w:rFonts w:asciiTheme="majorBidi" w:hAnsiTheme="majorBidi" w:cstheme="majorBidi"/>
          <w:sz w:val="24"/>
          <w:szCs w:val="24"/>
        </w:rPr>
      </w:pPr>
      <w:r w:rsidRPr="00B655CD">
        <w:rPr>
          <w:rFonts w:asciiTheme="majorBidi" w:hAnsiTheme="majorBidi" w:cstheme="majorBidi"/>
          <w:sz w:val="24"/>
          <w:szCs w:val="24"/>
        </w:rPr>
        <w:t xml:space="preserve">Mrs. Aya Amro </w:t>
      </w:r>
    </w:p>
    <w:p w14:paraId="5BF9D1F2" w14:textId="06FD7EA9" w:rsidR="005A5A80" w:rsidRPr="00B655CD" w:rsidRDefault="005A5A80" w:rsidP="005A5A80">
      <w:pPr>
        <w:spacing w:after="0" w:line="240" w:lineRule="auto"/>
        <w:ind w:left="-1077" w:right="-1412"/>
        <w:contextualSpacing/>
        <w:jc w:val="center"/>
        <w:rPr>
          <w:rFonts w:asciiTheme="majorBidi" w:hAnsiTheme="majorBidi" w:cstheme="majorBidi"/>
          <w:sz w:val="24"/>
          <w:szCs w:val="24"/>
        </w:rPr>
      </w:pPr>
      <w:r w:rsidRPr="00B655CD">
        <w:rPr>
          <w:rFonts w:asciiTheme="majorBidi" w:hAnsiTheme="majorBidi" w:cstheme="majorBidi"/>
          <w:sz w:val="24"/>
          <w:szCs w:val="24"/>
        </w:rPr>
        <w:t xml:space="preserve">aamro@pcbs.gov.ps </w:t>
      </w:r>
    </w:p>
    <w:p w14:paraId="19F826B4" w14:textId="77777777" w:rsidR="005A5A80" w:rsidRPr="00B655CD" w:rsidRDefault="005A5A80" w:rsidP="005A5A80">
      <w:pPr>
        <w:spacing w:after="0" w:line="240" w:lineRule="auto"/>
        <w:ind w:left="-1077" w:right="-1412"/>
        <w:contextualSpacing/>
        <w:jc w:val="center"/>
        <w:rPr>
          <w:rFonts w:asciiTheme="majorBidi" w:hAnsiTheme="majorBidi" w:cstheme="majorBidi"/>
          <w:sz w:val="24"/>
          <w:szCs w:val="24"/>
        </w:rPr>
      </w:pPr>
      <w:r w:rsidRPr="00B655CD">
        <w:rPr>
          <w:rFonts w:asciiTheme="majorBidi" w:hAnsiTheme="majorBidi" w:cstheme="majorBidi"/>
          <w:sz w:val="24"/>
          <w:szCs w:val="24"/>
        </w:rPr>
        <w:t>Palestinian Central Bureau of Statistics (PCBS)</w:t>
      </w:r>
      <w:r>
        <w:rPr>
          <w:rFonts w:asciiTheme="majorBidi" w:hAnsiTheme="majorBidi" w:cstheme="majorBidi"/>
          <w:sz w:val="24"/>
          <w:szCs w:val="24"/>
        </w:rPr>
        <w:t>, Ramallah, Palestine.</w:t>
      </w:r>
    </w:p>
    <w:p w14:paraId="5FF18F8C" w14:textId="77777777" w:rsidR="005A5A80" w:rsidRPr="00FF1AF8" w:rsidRDefault="005A5A80" w:rsidP="005A5A80">
      <w:pPr>
        <w:spacing w:after="0" w:line="240" w:lineRule="auto"/>
        <w:ind w:left="-1077" w:right="-1412"/>
        <w:contextualSpacing/>
        <w:jc w:val="center"/>
        <w:rPr>
          <w:rFonts w:asciiTheme="majorBidi" w:eastAsia="Times New Roman" w:hAnsiTheme="majorBidi" w:cstheme="majorBidi"/>
          <w:sz w:val="20"/>
          <w:szCs w:val="20"/>
        </w:rPr>
      </w:pPr>
    </w:p>
    <w:p w14:paraId="61ECFA1C" w14:textId="3E7FC70F" w:rsidR="005A5A80" w:rsidRDefault="005A5A80" w:rsidP="001B600B">
      <w:pPr>
        <w:spacing w:before="240" w:after="0" w:line="240" w:lineRule="auto"/>
        <w:jc w:val="both"/>
        <w:rPr>
          <w:rFonts w:ascii="Times New Roman" w:hAnsi="Times New Roman" w:cs="Times New Roman"/>
          <w:sz w:val="24"/>
          <w:szCs w:val="24"/>
        </w:rPr>
      </w:pPr>
      <w:r w:rsidRPr="00B655CD">
        <w:rPr>
          <w:rFonts w:asciiTheme="majorBidi" w:hAnsiTheme="majorBidi" w:cstheme="majorBidi"/>
          <w:b/>
          <w:bCs/>
          <w:sz w:val="28"/>
          <w:szCs w:val="28"/>
        </w:rPr>
        <w:t>Abstract</w:t>
      </w:r>
      <w:r w:rsidR="00BB76D6">
        <w:rPr>
          <w:rFonts w:asciiTheme="majorBidi" w:hAnsiTheme="majorBidi" w:cstheme="majorBidi"/>
          <w:b/>
          <w:bCs/>
          <w:sz w:val="28"/>
          <w:szCs w:val="28"/>
        </w:rPr>
        <w:t xml:space="preserve">. </w:t>
      </w:r>
      <w:r w:rsidR="00D7034F">
        <w:rPr>
          <w:rFonts w:asciiTheme="majorBidi" w:eastAsia="Times New Roman" w:hAnsiTheme="majorBidi" w:cstheme="majorBidi"/>
          <w:sz w:val="24"/>
          <w:szCs w:val="24"/>
        </w:rPr>
        <w:t xml:space="preserve">The paper studies </w:t>
      </w:r>
      <w:r w:rsidR="00D7034F" w:rsidRPr="00D73095">
        <w:rPr>
          <w:rFonts w:asciiTheme="majorBidi" w:eastAsia="Times New Roman" w:hAnsiTheme="majorBidi" w:cstheme="majorBidi"/>
          <w:sz w:val="24"/>
          <w:szCs w:val="24"/>
        </w:rPr>
        <w:t xml:space="preserve">the </w:t>
      </w:r>
      <w:r w:rsidR="00D7034F">
        <w:rPr>
          <w:rFonts w:asciiTheme="majorBidi" w:eastAsia="Times New Roman" w:hAnsiTheme="majorBidi" w:cstheme="majorBidi"/>
          <w:sz w:val="24"/>
          <w:szCs w:val="24"/>
        </w:rPr>
        <w:t xml:space="preserve">change in data collection approach in using </w:t>
      </w:r>
      <w:hyperlink r:id="rId9" w:history="1">
        <w:r w:rsidR="00D7034F" w:rsidRPr="00E85BBA">
          <w:rPr>
            <w:rFonts w:asciiTheme="majorBidi" w:eastAsia="Times New Roman" w:hAnsiTheme="majorBidi" w:cstheme="majorBidi"/>
            <w:sz w:val="24"/>
            <w:szCs w:val="24"/>
          </w:rPr>
          <w:t>Computer Assisted Telephone Interview </w:t>
        </w:r>
      </w:hyperlink>
      <w:r w:rsidR="00D7034F">
        <w:rPr>
          <w:rFonts w:asciiTheme="majorBidi" w:eastAsia="Times New Roman" w:hAnsiTheme="majorBidi" w:cstheme="majorBidi"/>
          <w:sz w:val="24"/>
          <w:szCs w:val="24"/>
        </w:rPr>
        <w:t>(</w:t>
      </w:r>
      <w:r w:rsidR="00D7034F" w:rsidRPr="00E85BBA">
        <w:rPr>
          <w:rFonts w:asciiTheme="majorBidi" w:eastAsia="Times New Roman" w:hAnsiTheme="majorBidi" w:cstheme="majorBidi"/>
          <w:sz w:val="24"/>
          <w:szCs w:val="24"/>
        </w:rPr>
        <w:t>CATI</w:t>
      </w:r>
      <w:r w:rsidR="00D7034F">
        <w:rPr>
          <w:rFonts w:asciiTheme="majorBidi" w:eastAsia="Times New Roman" w:hAnsiTheme="majorBidi" w:cstheme="majorBidi"/>
          <w:sz w:val="24"/>
          <w:szCs w:val="24"/>
        </w:rPr>
        <w:t xml:space="preserve">) mode adopted by the Palestinian Central Bureau of Statistics (PCBS) due to COVID – 19 restrictions.  In addition, It shed the light </w:t>
      </w:r>
      <w:r w:rsidR="00D7034F" w:rsidRPr="00D73095">
        <w:rPr>
          <w:rFonts w:asciiTheme="majorBidi" w:eastAsia="Times New Roman" w:hAnsiTheme="majorBidi" w:cstheme="majorBidi"/>
          <w:sz w:val="24"/>
          <w:szCs w:val="24"/>
        </w:rPr>
        <w:t>on the</w:t>
      </w:r>
      <w:r w:rsidR="00D7034F">
        <w:rPr>
          <w:rFonts w:asciiTheme="majorBidi" w:eastAsia="Times New Roman" w:hAnsiTheme="majorBidi" w:cstheme="majorBidi"/>
          <w:sz w:val="24"/>
          <w:szCs w:val="24"/>
        </w:rPr>
        <w:t xml:space="preserve"> impact of this mode on the</w:t>
      </w:r>
      <w:r w:rsidR="00D7034F" w:rsidRPr="00D73095">
        <w:rPr>
          <w:rFonts w:asciiTheme="majorBidi" w:eastAsia="Times New Roman" w:hAnsiTheme="majorBidi" w:cstheme="majorBidi"/>
          <w:sz w:val="24"/>
          <w:szCs w:val="24"/>
        </w:rPr>
        <w:t xml:space="preserve"> quality </w:t>
      </w:r>
      <w:r w:rsidR="00D7034F">
        <w:rPr>
          <w:rFonts w:asciiTheme="majorBidi" w:eastAsia="Times New Roman" w:hAnsiTheme="majorBidi" w:cstheme="majorBidi"/>
          <w:sz w:val="24"/>
          <w:szCs w:val="24"/>
        </w:rPr>
        <w:t>of official statistics</w:t>
      </w:r>
      <w:r>
        <w:rPr>
          <w:rFonts w:asciiTheme="majorBidi" w:eastAsia="Times New Roman" w:hAnsiTheme="majorBidi" w:cstheme="majorBidi"/>
          <w:sz w:val="24"/>
          <w:szCs w:val="24"/>
        </w:rPr>
        <w:t xml:space="preserve"> regarding the following surveys: “</w:t>
      </w:r>
      <w:r w:rsidRPr="00CB07A5">
        <w:rPr>
          <w:rFonts w:asciiTheme="majorBidi" w:eastAsia="Times New Roman" w:hAnsiTheme="majorBidi" w:cstheme="majorBidi"/>
          <w:sz w:val="24"/>
          <w:szCs w:val="24"/>
        </w:rPr>
        <w:t>Impact of COVID-19 Pandemic on the Socio-economic Conditions of Palestinian Households Survey, 2020</w:t>
      </w:r>
      <w:r>
        <w:rPr>
          <w:rFonts w:asciiTheme="majorBidi" w:eastAsia="Times New Roman" w:hAnsiTheme="majorBidi" w:cstheme="majorBidi"/>
          <w:sz w:val="24"/>
          <w:szCs w:val="24"/>
        </w:rPr>
        <w:t>”, and</w:t>
      </w:r>
      <w:r w:rsidRPr="0053666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“L</w:t>
      </w:r>
      <w:r w:rsidRPr="00536667">
        <w:rPr>
          <w:rFonts w:asciiTheme="majorBidi" w:eastAsia="Times New Roman" w:hAnsiTheme="majorBidi" w:cstheme="majorBidi"/>
          <w:sz w:val="24"/>
          <w:szCs w:val="24"/>
        </w:rPr>
        <w:t xml:space="preserve">abor </w:t>
      </w:r>
      <w:r>
        <w:rPr>
          <w:rFonts w:asciiTheme="majorBidi" w:eastAsia="Times New Roman" w:hAnsiTheme="majorBidi" w:cstheme="majorBidi"/>
          <w:sz w:val="24"/>
          <w:szCs w:val="24"/>
        </w:rPr>
        <w:t>F</w:t>
      </w:r>
      <w:r w:rsidRPr="00536667">
        <w:rPr>
          <w:rFonts w:asciiTheme="majorBidi" w:eastAsia="Times New Roman" w:hAnsiTheme="majorBidi" w:cstheme="majorBidi"/>
          <w:sz w:val="24"/>
          <w:szCs w:val="24"/>
        </w:rPr>
        <w:t>orce survey</w:t>
      </w:r>
      <w:r>
        <w:rPr>
          <w:rFonts w:asciiTheme="majorBidi" w:eastAsia="Times New Roman" w:hAnsiTheme="majorBidi" w:cstheme="majorBidi"/>
          <w:sz w:val="24"/>
          <w:szCs w:val="24"/>
        </w:rPr>
        <w:t xml:space="preserve"> 2020”. The assessment of data quality is </w:t>
      </w:r>
      <w:r w:rsidRPr="00D73095">
        <w:rPr>
          <w:rFonts w:asciiTheme="majorBidi" w:eastAsia="Times New Roman" w:hAnsiTheme="majorBidi" w:cstheme="majorBidi"/>
          <w:sz w:val="24"/>
          <w:szCs w:val="24"/>
        </w:rPr>
        <w:t xml:space="preserve">based on several </w:t>
      </w:r>
      <w:r>
        <w:rPr>
          <w:rFonts w:asciiTheme="majorBidi" w:eastAsia="Times New Roman" w:hAnsiTheme="majorBidi" w:cstheme="majorBidi"/>
          <w:sz w:val="24"/>
          <w:szCs w:val="24"/>
        </w:rPr>
        <w:t xml:space="preserve">standard </w:t>
      </w:r>
      <w:r w:rsidRPr="00D73095">
        <w:rPr>
          <w:rFonts w:asciiTheme="majorBidi" w:eastAsia="Times New Roman" w:hAnsiTheme="majorBidi" w:cstheme="majorBidi"/>
          <w:sz w:val="24"/>
          <w:szCs w:val="24"/>
        </w:rPr>
        <w:t xml:space="preserve">tools </w:t>
      </w:r>
      <w:r>
        <w:rPr>
          <w:rFonts w:asciiTheme="majorBidi" w:eastAsia="Times New Roman" w:hAnsiTheme="majorBidi" w:cstheme="majorBidi"/>
          <w:sz w:val="24"/>
          <w:szCs w:val="24"/>
        </w:rPr>
        <w:t>for</w:t>
      </w:r>
      <w:r w:rsidRPr="00D73095">
        <w:rPr>
          <w:rFonts w:asciiTheme="majorBidi" w:eastAsia="Times New Roman" w:hAnsiTheme="majorBidi" w:cstheme="majorBidi"/>
          <w:sz w:val="24"/>
          <w:szCs w:val="24"/>
        </w:rPr>
        <w:t xml:space="preserve"> measur</w:t>
      </w:r>
      <w:r>
        <w:rPr>
          <w:rFonts w:asciiTheme="majorBidi" w:eastAsia="Times New Roman" w:hAnsiTheme="majorBidi" w:cstheme="majorBidi"/>
          <w:sz w:val="24"/>
          <w:szCs w:val="24"/>
        </w:rPr>
        <w:t>ing data</w:t>
      </w:r>
      <w:r w:rsidRPr="00D73095">
        <w:rPr>
          <w:rFonts w:asciiTheme="majorBidi" w:eastAsia="Times New Roman" w:hAnsiTheme="majorBidi" w:cstheme="majorBidi"/>
          <w:sz w:val="24"/>
          <w:szCs w:val="24"/>
        </w:rPr>
        <w:t xml:space="preserve"> quality, </w:t>
      </w:r>
      <w:r>
        <w:rPr>
          <w:rFonts w:asciiTheme="majorBidi" w:eastAsia="Times New Roman" w:hAnsiTheme="majorBidi" w:cstheme="majorBidi"/>
          <w:sz w:val="24"/>
          <w:szCs w:val="24"/>
        </w:rPr>
        <w:t>such as</w:t>
      </w:r>
      <w:r w:rsidRPr="00D73095">
        <w:rPr>
          <w:rFonts w:asciiTheme="majorBidi" w:eastAsia="Times New Roman" w:hAnsiTheme="majorBidi" w:cstheme="majorBidi"/>
          <w:sz w:val="24"/>
          <w:szCs w:val="24"/>
        </w:rPr>
        <w:t xml:space="preserve">: The </w:t>
      </w:r>
      <w:r w:rsidRPr="000C29A3">
        <w:rPr>
          <w:rFonts w:asciiTheme="majorBidi" w:eastAsia="Times New Roman" w:hAnsiTheme="majorBidi" w:cstheme="majorBidi"/>
          <w:sz w:val="24"/>
          <w:szCs w:val="24"/>
        </w:rPr>
        <w:t>Development of a Self-Assessment Program (DESAP)</w:t>
      </w:r>
      <w:r>
        <w:rPr>
          <w:rFonts w:asciiTheme="majorBidi" w:eastAsia="Times New Roman" w:hAnsiTheme="majorBidi" w:cstheme="majorBidi"/>
          <w:sz w:val="24"/>
          <w:szCs w:val="24"/>
        </w:rPr>
        <w:t xml:space="preserve">, </w:t>
      </w:r>
      <w:r w:rsidRPr="000C29A3">
        <w:rPr>
          <w:rFonts w:asciiTheme="majorBidi" w:eastAsia="Times New Roman" w:hAnsiTheme="majorBidi" w:cstheme="majorBidi"/>
          <w:sz w:val="24"/>
          <w:szCs w:val="24"/>
        </w:rPr>
        <w:t>Quality Reports and Indicators (</w:t>
      </w:r>
      <w:r>
        <w:rPr>
          <w:rFonts w:asciiTheme="majorBidi" w:eastAsia="Times New Roman" w:hAnsiTheme="majorBidi" w:cstheme="majorBidi"/>
          <w:sz w:val="24"/>
          <w:szCs w:val="24"/>
        </w:rPr>
        <w:t>based on</w:t>
      </w:r>
      <w:r w:rsidRPr="000C29A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q</w:t>
      </w:r>
      <w:r w:rsidRPr="000C29A3">
        <w:rPr>
          <w:rFonts w:asciiTheme="majorBidi" w:eastAsia="Times New Roman" w:hAnsiTheme="majorBidi" w:cstheme="majorBidi"/>
          <w:sz w:val="24"/>
          <w:szCs w:val="24"/>
        </w:rPr>
        <w:t xml:space="preserve">uality </w:t>
      </w:r>
      <w:r>
        <w:rPr>
          <w:rFonts w:asciiTheme="majorBidi" w:eastAsia="Times New Roman" w:hAnsiTheme="majorBidi" w:cstheme="majorBidi"/>
          <w:sz w:val="24"/>
          <w:szCs w:val="24"/>
        </w:rPr>
        <w:t>d</w:t>
      </w:r>
      <w:r w:rsidRPr="000C29A3">
        <w:rPr>
          <w:rFonts w:asciiTheme="majorBidi" w:eastAsia="Times New Roman" w:hAnsiTheme="majorBidi" w:cstheme="majorBidi"/>
          <w:sz w:val="24"/>
          <w:szCs w:val="24"/>
        </w:rPr>
        <w:t>imensions)</w:t>
      </w:r>
      <w:r>
        <w:rPr>
          <w:rFonts w:asciiTheme="majorBidi" w:eastAsia="Times New Roman" w:hAnsiTheme="majorBidi" w:cstheme="majorBidi"/>
          <w:sz w:val="24"/>
          <w:szCs w:val="24"/>
        </w:rPr>
        <w:t xml:space="preserve">, and the European Statistics Code of </w:t>
      </w:r>
      <w:r w:rsidRPr="00B73AAE">
        <w:rPr>
          <w:rFonts w:asciiTheme="majorBidi" w:eastAsia="Times New Roman" w:hAnsiTheme="majorBidi" w:cstheme="majorBidi"/>
          <w:sz w:val="24"/>
          <w:szCs w:val="24"/>
        </w:rPr>
        <w:t>Practice (C</w:t>
      </w:r>
      <w:r>
        <w:rPr>
          <w:rFonts w:asciiTheme="majorBidi" w:eastAsia="Times New Roman" w:hAnsiTheme="majorBidi" w:cstheme="majorBidi"/>
          <w:sz w:val="24"/>
          <w:szCs w:val="24"/>
        </w:rPr>
        <w:t>O</w:t>
      </w:r>
      <w:r w:rsidRPr="00B73AAE">
        <w:rPr>
          <w:rFonts w:asciiTheme="majorBidi" w:eastAsia="Times New Roman" w:hAnsiTheme="majorBidi" w:cstheme="majorBidi"/>
          <w:sz w:val="24"/>
          <w:szCs w:val="24"/>
        </w:rPr>
        <w:t>P)</w:t>
      </w:r>
      <w:r>
        <w:rPr>
          <w:rFonts w:asciiTheme="majorBidi" w:eastAsia="Times New Roman" w:hAnsiTheme="majorBidi" w:cstheme="majorBidi"/>
          <w:sz w:val="24"/>
          <w:szCs w:val="24"/>
        </w:rPr>
        <w:t>. The assessment</w:t>
      </w:r>
      <w:r w:rsidRPr="00D73095">
        <w:rPr>
          <w:rFonts w:asciiTheme="majorBidi" w:eastAsia="Times New Roman" w:hAnsiTheme="majorBidi" w:cstheme="majorBidi"/>
          <w:sz w:val="24"/>
          <w:szCs w:val="24"/>
        </w:rPr>
        <w:t xml:space="preserve"> process include</w:t>
      </w:r>
      <w:r>
        <w:rPr>
          <w:rFonts w:asciiTheme="majorBidi" w:eastAsia="Times New Roman" w:hAnsiTheme="majorBidi" w:cstheme="majorBidi"/>
          <w:sz w:val="24"/>
          <w:szCs w:val="24"/>
        </w:rPr>
        <w:t>s</w:t>
      </w:r>
      <w:r w:rsidRPr="00D73095">
        <w:rPr>
          <w:rFonts w:asciiTheme="majorBidi" w:eastAsia="Times New Roman" w:hAnsiTheme="majorBidi" w:cstheme="majorBidi"/>
          <w:sz w:val="24"/>
          <w:szCs w:val="24"/>
        </w:rPr>
        <w:t xml:space="preserve"> a comparison of the results of these surveys with previous cycles</w:t>
      </w:r>
      <w:r w:rsidR="00DF36A7">
        <w:rPr>
          <w:rFonts w:asciiTheme="majorBidi" w:eastAsia="Times New Roman" w:hAnsiTheme="majorBidi" w:cstheme="majorBidi"/>
          <w:sz w:val="24"/>
          <w:szCs w:val="24"/>
        </w:rPr>
        <w:t xml:space="preserve"> using data quality measurements</w:t>
      </w:r>
      <w:r>
        <w:rPr>
          <w:rFonts w:asciiTheme="majorBidi" w:eastAsia="Times New Roman" w:hAnsiTheme="majorBidi" w:cstheme="majorBidi"/>
          <w:sz w:val="24"/>
          <w:szCs w:val="24"/>
        </w:rPr>
        <w:t>. Th</w:t>
      </w:r>
      <w:r w:rsidR="001B600B">
        <w:rPr>
          <w:rFonts w:asciiTheme="majorBidi" w:eastAsia="Times New Roman" w:hAnsiTheme="majorBidi" w:cstheme="majorBidi"/>
          <w:sz w:val="24"/>
          <w:szCs w:val="24"/>
        </w:rPr>
        <w:t>e</w:t>
      </w:r>
      <w:r>
        <w:rPr>
          <w:rFonts w:ascii="Times New Roman" w:hAnsi="Times New Roman" w:cs="Times New Roman"/>
          <w:sz w:val="24"/>
          <w:szCs w:val="24"/>
        </w:rPr>
        <w:t xml:space="preserve"> paper aims to come up with recommendations regarding the use of CATI mode in surveys during a challenging time when the need for timely and high quality data is highly increasing.</w:t>
      </w:r>
    </w:p>
    <w:p w14:paraId="470468A2" w14:textId="77777777" w:rsidR="001B600B" w:rsidRPr="001B600B" w:rsidRDefault="001B600B" w:rsidP="001B600B">
      <w:pPr>
        <w:spacing w:before="240" w:after="0" w:line="240" w:lineRule="auto"/>
        <w:jc w:val="both"/>
        <w:rPr>
          <w:rFonts w:asciiTheme="majorBidi" w:hAnsiTheme="majorBidi" w:cstheme="majorBidi"/>
          <w:b/>
          <w:bCs/>
          <w:sz w:val="28"/>
          <w:szCs w:val="28"/>
          <w:rtl/>
        </w:rPr>
      </w:pPr>
    </w:p>
    <w:p w14:paraId="5B44002D" w14:textId="318A4E16" w:rsidR="005A5A80" w:rsidRPr="00E85BBA" w:rsidRDefault="005A5A80" w:rsidP="001B600B">
      <w:pPr>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b/>
          <w:bCs/>
          <w:sz w:val="24"/>
          <w:szCs w:val="24"/>
        </w:rPr>
        <w:t>Key words</w:t>
      </w:r>
      <w:r w:rsidRPr="00E85BBA">
        <w:rPr>
          <w:rFonts w:asciiTheme="majorBidi" w:eastAsia="Times New Roman" w:hAnsiTheme="majorBidi" w:cstheme="majorBidi"/>
          <w:sz w:val="24"/>
          <w:szCs w:val="24"/>
        </w:rPr>
        <w:t xml:space="preserve">: </w:t>
      </w:r>
      <w:r w:rsidRPr="00B73AAE">
        <w:rPr>
          <w:rFonts w:asciiTheme="majorBidi" w:eastAsia="Times New Roman" w:hAnsiTheme="majorBidi" w:cstheme="majorBidi"/>
          <w:sz w:val="24"/>
          <w:szCs w:val="24"/>
        </w:rPr>
        <w:t xml:space="preserve">data quality assessment, </w:t>
      </w:r>
      <w:r>
        <w:rPr>
          <w:rFonts w:asciiTheme="majorBidi" w:eastAsia="Times New Roman" w:hAnsiTheme="majorBidi" w:cstheme="majorBidi"/>
          <w:sz w:val="24"/>
          <w:szCs w:val="24"/>
        </w:rPr>
        <w:t xml:space="preserve">household surveys, </w:t>
      </w:r>
      <w:r w:rsidR="001B600B">
        <w:rPr>
          <w:rFonts w:asciiTheme="majorBidi" w:eastAsia="Times New Roman" w:hAnsiTheme="majorBidi" w:cstheme="majorBidi"/>
          <w:sz w:val="24"/>
          <w:szCs w:val="24"/>
        </w:rPr>
        <w:t>CATI</w:t>
      </w:r>
      <w:r>
        <w:rPr>
          <w:rFonts w:asciiTheme="majorBidi" w:eastAsia="Times New Roman" w:hAnsiTheme="majorBidi" w:cstheme="majorBidi"/>
          <w:sz w:val="24"/>
          <w:szCs w:val="24"/>
        </w:rPr>
        <w:t>,</w:t>
      </w:r>
      <w:r w:rsidRPr="00B73AAE">
        <w:rPr>
          <w:rFonts w:asciiTheme="majorBidi" w:eastAsia="Times New Roman" w:hAnsiTheme="majorBidi" w:cstheme="majorBidi"/>
          <w:sz w:val="24"/>
          <w:szCs w:val="24"/>
        </w:rPr>
        <w:t xml:space="preserve"> COVID-19</w:t>
      </w:r>
      <w:r>
        <w:rPr>
          <w:rFonts w:asciiTheme="majorBidi" w:eastAsia="Times New Roman" w:hAnsiTheme="majorBidi" w:cstheme="majorBidi"/>
          <w:sz w:val="24"/>
          <w:szCs w:val="24"/>
        </w:rPr>
        <w:t xml:space="preserve">, </w:t>
      </w:r>
      <w:r w:rsidRPr="00B73AAE">
        <w:rPr>
          <w:rFonts w:asciiTheme="majorBidi" w:eastAsia="Times New Roman" w:hAnsiTheme="majorBidi" w:cstheme="majorBidi"/>
          <w:sz w:val="24"/>
          <w:szCs w:val="24"/>
        </w:rPr>
        <w:t>DESAP, C</w:t>
      </w:r>
      <w:r>
        <w:rPr>
          <w:rFonts w:asciiTheme="majorBidi" w:eastAsia="Times New Roman" w:hAnsiTheme="majorBidi" w:cstheme="majorBidi"/>
          <w:sz w:val="24"/>
          <w:szCs w:val="24"/>
        </w:rPr>
        <w:t>OP.</w:t>
      </w:r>
    </w:p>
    <w:p w14:paraId="5AC7AFCA" w14:textId="77777777" w:rsidR="005A5A80" w:rsidRPr="00E85BBA" w:rsidRDefault="005A5A80" w:rsidP="005A5A80">
      <w:pPr>
        <w:spacing w:line="240" w:lineRule="auto"/>
        <w:jc w:val="both"/>
        <w:rPr>
          <w:rFonts w:asciiTheme="majorBidi" w:eastAsia="Times New Roman" w:hAnsiTheme="majorBidi" w:cstheme="majorBidi"/>
          <w:sz w:val="24"/>
          <w:szCs w:val="24"/>
        </w:rPr>
      </w:pPr>
    </w:p>
    <w:p w14:paraId="39AFB25F" w14:textId="77777777" w:rsidR="005A5A80" w:rsidRDefault="005A5A80" w:rsidP="005A5A80">
      <w:pPr>
        <w:rPr>
          <w:rtl/>
        </w:rPr>
      </w:pPr>
    </w:p>
    <w:p w14:paraId="41111FFE" w14:textId="77777777" w:rsidR="00DC4CD5" w:rsidRPr="00E85BBA" w:rsidRDefault="00DC4CD5" w:rsidP="005A3732">
      <w:pPr>
        <w:spacing w:line="240" w:lineRule="auto"/>
        <w:jc w:val="both"/>
        <w:rPr>
          <w:rFonts w:asciiTheme="majorBidi" w:eastAsia="Times New Roman" w:hAnsiTheme="majorBidi" w:cstheme="majorBidi"/>
          <w:sz w:val="24"/>
          <w:szCs w:val="24"/>
        </w:rPr>
      </w:pPr>
    </w:p>
    <w:p w14:paraId="49052C37" w14:textId="77777777" w:rsidR="00DC4CD5" w:rsidRPr="00E85BBA" w:rsidRDefault="00DC4CD5" w:rsidP="005A3732">
      <w:pPr>
        <w:spacing w:line="240" w:lineRule="auto"/>
        <w:jc w:val="both"/>
        <w:rPr>
          <w:rFonts w:asciiTheme="majorBidi" w:eastAsia="Times New Roman" w:hAnsiTheme="majorBidi" w:cstheme="majorBidi"/>
          <w:sz w:val="24"/>
          <w:szCs w:val="24"/>
        </w:rPr>
      </w:pPr>
    </w:p>
    <w:p w14:paraId="667E04C2" w14:textId="77777777" w:rsidR="00DC4CD5" w:rsidRPr="00E85BBA" w:rsidRDefault="00DC4CD5" w:rsidP="005A3732">
      <w:pPr>
        <w:spacing w:line="240" w:lineRule="auto"/>
        <w:jc w:val="both"/>
        <w:rPr>
          <w:rFonts w:asciiTheme="majorBidi" w:eastAsia="Times New Roman" w:hAnsiTheme="majorBidi" w:cstheme="majorBidi"/>
          <w:sz w:val="24"/>
          <w:szCs w:val="24"/>
        </w:rPr>
      </w:pPr>
    </w:p>
    <w:p w14:paraId="0B896AF5" w14:textId="77777777" w:rsidR="00DC4CD5" w:rsidRPr="00E85BBA" w:rsidRDefault="00DC4CD5" w:rsidP="005A3732">
      <w:pPr>
        <w:spacing w:line="240" w:lineRule="auto"/>
        <w:jc w:val="both"/>
        <w:rPr>
          <w:rFonts w:asciiTheme="majorBidi" w:eastAsia="Times New Roman" w:hAnsiTheme="majorBidi" w:cstheme="majorBidi"/>
          <w:sz w:val="24"/>
          <w:szCs w:val="24"/>
        </w:rPr>
      </w:pPr>
    </w:p>
    <w:p w14:paraId="31D902BC" w14:textId="243072E9" w:rsidR="00DC4CD5" w:rsidRDefault="00DC4CD5" w:rsidP="005A3732">
      <w:pPr>
        <w:spacing w:line="240" w:lineRule="auto"/>
        <w:jc w:val="both"/>
        <w:rPr>
          <w:rFonts w:asciiTheme="majorBidi" w:eastAsia="Times New Roman" w:hAnsiTheme="majorBidi" w:cstheme="majorBidi"/>
          <w:sz w:val="24"/>
          <w:szCs w:val="24"/>
        </w:rPr>
      </w:pPr>
    </w:p>
    <w:p w14:paraId="71B516BB" w14:textId="4B35E5B7" w:rsidR="005A5A80" w:rsidRDefault="005A5A80" w:rsidP="005A3732">
      <w:pPr>
        <w:spacing w:line="240" w:lineRule="auto"/>
        <w:jc w:val="both"/>
        <w:rPr>
          <w:rFonts w:asciiTheme="majorBidi" w:eastAsia="Times New Roman" w:hAnsiTheme="majorBidi" w:cstheme="majorBidi"/>
          <w:sz w:val="24"/>
          <w:szCs w:val="24"/>
        </w:rPr>
      </w:pPr>
    </w:p>
    <w:p w14:paraId="6DBA78F7" w14:textId="25BF939E" w:rsidR="005A5A80" w:rsidRDefault="005A5A80" w:rsidP="005A3732">
      <w:pPr>
        <w:spacing w:line="240" w:lineRule="auto"/>
        <w:jc w:val="both"/>
        <w:rPr>
          <w:rFonts w:asciiTheme="majorBidi" w:eastAsia="Times New Roman" w:hAnsiTheme="majorBidi" w:cstheme="majorBidi"/>
          <w:sz w:val="24"/>
          <w:szCs w:val="24"/>
        </w:rPr>
      </w:pPr>
    </w:p>
    <w:p w14:paraId="418EDFDA" w14:textId="77777777" w:rsidR="005A5A80" w:rsidRPr="00E85BBA" w:rsidRDefault="005A5A80" w:rsidP="005A3732">
      <w:pPr>
        <w:spacing w:line="240" w:lineRule="auto"/>
        <w:jc w:val="both"/>
        <w:rPr>
          <w:rFonts w:asciiTheme="majorBidi" w:eastAsia="Times New Roman" w:hAnsiTheme="majorBidi" w:cstheme="majorBidi"/>
          <w:sz w:val="24"/>
          <w:szCs w:val="24"/>
        </w:rPr>
      </w:pPr>
    </w:p>
    <w:p w14:paraId="6D4AB5F1" w14:textId="472BA25E" w:rsidR="00DC4CD5" w:rsidRDefault="00DC4CD5" w:rsidP="005A3732">
      <w:pPr>
        <w:spacing w:line="240" w:lineRule="auto"/>
        <w:jc w:val="both"/>
        <w:rPr>
          <w:rFonts w:asciiTheme="majorBidi" w:eastAsia="Times New Roman" w:hAnsiTheme="majorBidi" w:cstheme="majorBidi"/>
          <w:sz w:val="24"/>
          <w:szCs w:val="24"/>
        </w:rPr>
      </w:pPr>
    </w:p>
    <w:p w14:paraId="7000BDB2" w14:textId="77777777" w:rsidR="00BB76D6" w:rsidRDefault="00BB76D6" w:rsidP="005A3732">
      <w:pPr>
        <w:spacing w:line="240" w:lineRule="auto"/>
        <w:jc w:val="both"/>
        <w:rPr>
          <w:rFonts w:asciiTheme="majorBidi" w:eastAsia="Times New Roman" w:hAnsiTheme="majorBidi" w:cstheme="majorBidi"/>
          <w:sz w:val="24"/>
          <w:szCs w:val="24"/>
        </w:rPr>
      </w:pPr>
    </w:p>
    <w:p w14:paraId="46AC2A90" w14:textId="77777777" w:rsidR="005A3732" w:rsidRDefault="005A3732" w:rsidP="005A3732">
      <w:pPr>
        <w:spacing w:line="240" w:lineRule="auto"/>
        <w:jc w:val="both"/>
        <w:rPr>
          <w:rFonts w:asciiTheme="majorBidi" w:eastAsia="Times New Roman" w:hAnsiTheme="majorBidi" w:cstheme="majorBidi"/>
          <w:sz w:val="24"/>
          <w:szCs w:val="24"/>
        </w:rPr>
      </w:pPr>
    </w:p>
    <w:p w14:paraId="6632E1F9" w14:textId="77777777" w:rsidR="00811FBB" w:rsidRPr="00E85BBA" w:rsidRDefault="00811FBB" w:rsidP="005A3732">
      <w:pPr>
        <w:pStyle w:val="ListParagraph"/>
        <w:numPr>
          <w:ilvl w:val="0"/>
          <w:numId w:val="1"/>
        </w:numPr>
        <w:tabs>
          <w:tab w:val="left" w:pos="810"/>
        </w:tabs>
        <w:spacing w:after="0" w:line="240" w:lineRule="auto"/>
        <w:ind w:left="270" w:hanging="270"/>
        <w:jc w:val="both"/>
        <w:rPr>
          <w:rFonts w:asciiTheme="majorBidi" w:eastAsia="Times New Roman" w:hAnsiTheme="majorBidi" w:cstheme="majorBidi"/>
          <w:b/>
          <w:bCs/>
          <w:sz w:val="24"/>
          <w:szCs w:val="24"/>
        </w:rPr>
      </w:pPr>
      <w:r w:rsidRPr="00E85BBA">
        <w:rPr>
          <w:rFonts w:asciiTheme="majorBidi" w:eastAsia="Times New Roman" w:hAnsiTheme="majorBidi" w:cstheme="majorBidi"/>
          <w:b/>
          <w:bCs/>
          <w:sz w:val="24"/>
          <w:szCs w:val="24"/>
        </w:rPr>
        <w:lastRenderedPageBreak/>
        <w:t>Introduction</w:t>
      </w:r>
    </w:p>
    <w:p w14:paraId="4913FE60" w14:textId="1F6AA834" w:rsidR="00811FBB" w:rsidRDefault="00811FBB" w:rsidP="00CE650F">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During the </w:t>
      </w:r>
      <w:r w:rsidR="000638C3">
        <w:rPr>
          <w:rFonts w:asciiTheme="majorBidi" w:eastAsia="Times New Roman" w:hAnsiTheme="majorBidi" w:cstheme="majorBidi"/>
          <w:sz w:val="24"/>
          <w:szCs w:val="24"/>
        </w:rPr>
        <w:t>COVID-19</w:t>
      </w:r>
      <w:r w:rsidR="000638C3" w:rsidRPr="00E85BBA">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pandemic and the associated lockdowns</w:t>
      </w:r>
      <w:r w:rsidR="00CE650F">
        <w:rPr>
          <w:rFonts w:asciiTheme="majorBidi" w:eastAsia="Times New Roman" w:hAnsiTheme="majorBidi" w:cstheme="majorBidi"/>
          <w:sz w:val="24"/>
          <w:szCs w:val="24"/>
        </w:rPr>
        <w:t>;</w:t>
      </w:r>
      <w:r w:rsidRPr="00E85BBA">
        <w:rPr>
          <w:rFonts w:asciiTheme="majorBidi" w:eastAsia="Times New Roman" w:hAnsiTheme="majorBidi" w:cstheme="majorBidi"/>
          <w:sz w:val="24"/>
          <w:szCs w:val="24"/>
        </w:rPr>
        <w:t xml:space="preserve"> many constraints for producing reliable and timely data have tightened, as the </w:t>
      </w:r>
      <w:r w:rsidR="000638C3">
        <w:rPr>
          <w:rFonts w:asciiTheme="majorBidi" w:eastAsia="Times New Roman" w:hAnsiTheme="majorBidi" w:cstheme="majorBidi"/>
          <w:sz w:val="24"/>
          <w:szCs w:val="24"/>
        </w:rPr>
        <w:t>interviewers</w:t>
      </w:r>
      <w:r w:rsidRPr="00E85BBA">
        <w:rPr>
          <w:rFonts w:asciiTheme="majorBidi" w:eastAsia="Times New Roman" w:hAnsiTheme="majorBidi" w:cstheme="majorBidi"/>
          <w:sz w:val="24"/>
          <w:szCs w:val="24"/>
        </w:rPr>
        <w:t xml:space="preserve"> </w:t>
      </w:r>
      <w:r w:rsidR="007A46F6" w:rsidRPr="00E85BBA">
        <w:rPr>
          <w:rFonts w:asciiTheme="majorBidi" w:eastAsia="Times New Roman" w:hAnsiTheme="majorBidi" w:cstheme="majorBidi"/>
          <w:sz w:val="24"/>
          <w:szCs w:val="24"/>
        </w:rPr>
        <w:t>cannot</w:t>
      </w:r>
      <w:r w:rsidRPr="00E85BBA">
        <w:rPr>
          <w:rFonts w:asciiTheme="majorBidi" w:eastAsia="Times New Roman" w:hAnsiTheme="majorBidi" w:cstheme="majorBidi"/>
          <w:sz w:val="24"/>
          <w:szCs w:val="24"/>
        </w:rPr>
        <w:t xml:space="preserve"> </w:t>
      </w:r>
      <w:r w:rsidR="000638C3">
        <w:rPr>
          <w:rFonts w:asciiTheme="majorBidi" w:eastAsia="Times New Roman" w:hAnsiTheme="majorBidi" w:cstheme="majorBidi"/>
          <w:sz w:val="24"/>
          <w:szCs w:val="24"/>
        </w:rPr>
        <w:t xml:space="preserve">be able to </w:t>
      </w:r>
      <w:r w:rsidRPr="00E85BBA">
        <w:rPr>
          <w:rFonts w:asciiTheme="majorBidi" w:eastAsia="Times New Roman" w:hAnsiTheme="majorBidi" w:cstheme="majorBidi"/>
          <w:sz w:val="24"/>
          <w:szCs w:val="24"/>
        </w:rPr>
        <w:t>conduct fieldwork</w:t>
      </w:r>
      <w:r w:rsidR="000638C3">
        <w:rPr>
          <w:rFonts w:asciiTheme="majorBidi" w:eastAsia="Times New Roman" w:hAnsiTheme="majorBidi" w:cstheme="majorBidi"/>
          <w:sz w:val="24"/>
          <w:szCs w:val="24"/>
        </w:rPr>
        <w:t>s</w:t>
      </w:r>
      <w:r w:rsidRPr="00E85BBA">
        <w:rPr>
          <w:rFonts w:asciiTheme="majorBidi" w:eastAsia="Times New Roman" w:hAnsiTheme="majorBidi" w:cstheme="majorBidi"/>
          <w:sz w:val="24"/>
          <w:szCs w:val="24"/>
        </w:rPr>
        <w:t xml:space="preserve"> due to the risk associated with face-to-face interviews. In this sense, the need for an alternative method of data collection has arisen, and</w:t>
      </w:r>
      <w:r w:rsidR="002C786D">
        <w:rPr>
          <w:rFonts w:asciiTheme="majorBidi" w:eastAsia="Times New Roman" w:hAnsiTheme="majorBidi" w:cstheme="majorBidi"/>
          <w:sz w:val="24"/>
          <w:szCs w:val="24"/>
        </w:rPr>
        <w:t xml:space="preserve"> </w:t>
      </w:r>
      <w:r w:rsidR="002C786D" w:rsidRPr="002C786D">
        <w:rPr>
          <w:rFonts w:asciiTheme="majorBidi" w:eastAsia="Times New Roman" w:hAnsiTheme="majorBidi" w:cstheme="majorBidi"/>
          <w:sz w:val="24"/>
          <w:szCs w:val="24"/>
        </w:rPr>
        <w:t>Computer Assisted Telephone Interview</w:t>
      </w:r>
      <w:r w:rsidRPr="00E85BBA">
        <w:rPr>
          <w:rFonts w:asciiTheme="majorBidi" w:eastAsia="Times New Roman" w:hAnsiTheme="majorBidi" w:cstheme="majorBidi"/>
          <w:sz w:val="24"/>
          <w:szCs w:val="24"/>
        </w:rPr>
        <w:t xml:space="preserve"> </w:t>
      </w:r>
      <w:r w:rsidR="002C786D">
        <w:rPr>
          <w:rFonts w:asciiTheme="majorBidi" w:eastAsia="Times New Roman" w:hAnsiTheme="majorBidi" w:cstheme="majorBidi"/>
          <w:sz w:val="24"/>
          <w:szCs w:val="24"/>
        </w:rPr>
        <w:t>(</w:t>
      </w:r>
      <w:r w:rsidRPr="00E85BBA">
        <w:rPr>
          <w:rFonts w:asciiTheme="majorBidi" w:eastAsia="Times New Roman" w:hAnsiTheme="majorBidi" w:cstheme="majorBidi"/>
          <w:sz w:val="24"/>
          <w:szCs w:val="24"/>
        </w:rPr>
        <w:t>CATI</w:t>
      </w:r>
      <w:r w:rsidR="002C786D">
        <w:rPr>
          <w:rFonts w:asciiTheme="majorBidi" w:eastAsia="Times New Roman" w:hAnsiTheme="majorBidi" w:cstheme="majorBidi"/>
          <w:sz w:val="24"/>
          <w:szCs w:val="24"/>
        </w:rPr>
        <w:t>)</w:t>
      </w:r>
      <w:r w:rsidRPr="00E85BBA">
        <w:rPr>
          <w:rFonts w:asciiTheme="majorBidi" w:eastAsia="Times New Roman" w:hAnsiTheme="majorBidi" w:cstheme="majorBidi"/>
          <w:sz w:val="24"/>
          <w:szCs w:val="24"/>
        </w:rPr>
        <w:t xml:space="preserve"> approach seems to be the available alternative at the time. </w:t>
      </w:r>
      <w:r w:rsidR="00134D81">
        <w:rPr>
          <w:rFonts w:asciiTheme="majorBidi" w:eastAsia="Times New Roman" w:hAnsiTheme="majorBidi" w:cstheme="majorBidi"/>
          <w:sz w:val="24"/>
          <w:szCs w:val="24"/>
        </w:rPr>
        <w:t>T</w:t>
      </w:r>
      <w:r w:rsidRPr="00E85BBA">
        <w:rPr>
          <w:rFonts w:asciiTheme="majorBidi" w:eastAsia="Times New Roman" w:hAnsiTheme="majorBidi" w:cstheme="majorBidi"/>
          <w:sz w:val="24"/>
          <w:szCs w:val="24"/>
        </w:rPr>
        <w:t xml:space="preserve">his paper </w:t>
      </w:r>
      <w:r w:rsidR="00134D81">
        <w:rPr>
          <w:rFonts w:asciiTheme="majorBidi" w:eastAsia="Times New Roman" w:hAnsiTheme="majorBidi" w:cstheme="majorBidi"/>
          <w:sz w:val="24"/>
          <w:szCs w:val="24"/>
        </w:rPr>
        <w:t xml:space="preserve">presents two household surveys </w:t>
      </w:r>
      <w:r w:rsidRPr="00E85BBA">
        <w:rPr>
          <w:rFonts w:asciiTheme="majorBidi" w:eastAsia="Times New Roman" w:hAnsiTheme="majorBidi" w:cstheme="majorBidi"/>
          <w:sz w:val="24"/>
          <w:szCs w:val="24"/>
        </w:rPr>
        <w:t xml:space="preserve">conducted </w:t>
      </w:r>
      <w:r w:rsidR="002C786D">
        <w:rPr>
          <w:rFonts w:asciiTheme="majorBidi" w:eastAsia="Times New Roman" w:hAnsiTheme="majorBidi" w:cstheme="majorBidi"/>
          <w:sz w:val="24"/>
          <w:szCs w:val="24"/>
        </w:rPr>
        <w:t>by the</w:t>
      </w:r>
      <w:r w:rsidRPr="00E85BBA">
        <w:rPr>
          <w:rFonts w:asciiTheme="majorBidi" w:eastAsia="Times New Roman" w:hAnsiTheme="majorBidi" w:cstheme="majorBidi"/>
          <w:sz w:val="24"/>
          <w:szCs w:val="24"/>
        </w:rPr>
        <w:t xml:space="preserve"> </w:t>
      </w:r>
      <w:r w:rsidR="002C786D">
        <w:rPr>
          <w:rFonts w:asciiTheme="majorBidi" w:eastAsia="Times New Roman" w:hAnsiTheme="majorBidi" w:cstheme="majorBidi"/>
          <w:sz w:val="24"/>
          <w:szCs w:val="24"/>
        </w:rPr>
        <w:t>Palestinian Central Bureau of Statistics (</w:t>
      </w:r>
      <w:r w:rsidRPr="00E85BBA">
        <w:rPr>
          <w:rFonts w:asciiTheme="majorBidi" w:eastAsia="Times New Roman" w:hAnsiTheme="majorBidi" w:cstheme="majorBidi"/>
          <w:sz w:val="24"/>
          <w:szCs w:val="24"/>
        </w:rPr>
        <w:t>PCBS</w:t>
      </w:r>
      <w:r w:rsidR="002C786D">
        <w:rPr>
          <w:rFonts w:asciiTheme="majorBidi" w:eastAsia="Times New Roman" w:hAnsiTheme="majorBidi" w:cstheme="majorBidi"/>
          <w:sz w:val="24"/>
          <w:szCs w:val="24"/>
        </w:rPr>
        <w:t>)</w:t>
      </w:r>
      <w:r w:rsidRPr="00E85BBA">
        <w:rPr>
          <w:rFonts w:asciiTheme="majorBidi" w:eastAsia="Times New Roman" w:hAnsiTheme="majorBidi" w:cstheme="majorBidi"/>
          <w:sz w:val="24"/>
          <w:szCs w:val="24"/>
        </w:rPr>
        <w:t xml:space="preserve"> through </w:t>
      </w:r>
      <w:r w:rsidR="00134D81">
        <w:rPr>
          <w:rFonts w:asciiTheme="majorBidi" w:eastAsia="Times New Roman" w:hAnsiTheme="majorBidi" w:cstheme="majorBidi"/>
          <w:sz w:val="24"/>
          <w:szCs w:val="24"/>
        </w:rPr>
        <w:t xml:space="preserve">the quarantine period of COVID-19 pandemic, which </w:t>
      </w:r>
      <w:proofErr w:type="gramStart"/>
      <w:r w:rsidR="00134D81">
        <w:rPr>
          <w:rFonts w:asciiTheme="majorBidi" w:eastAsia="Times New Roman" w:hAnsiTheme="majorBidi" w:cstheme="majorBidi"/>
          <w:sz w:val="24"/>
          <w:szCs w:val="24"/>
        </w:rPr>
        <w:t>are:</w:t>
      </w:r>
      <w:proofErr w:type="gramEnd"/>
      <w:r w:rsidR="00134D81">
        <w:rPr>
          <w:rFonts w:asciiTheme="majorBidi" w:eastAsia="Times New Roman" w:hAnsiTheme="majorBidi" w:cstheme="majorBidi"/>
          <w:sz w:val="24"/>
          <w:szCs w:val="24"/>
        </w:rPr>
        <w:t xml:space="preserve"> “</w:t>
      </w:r>
      <w:r w:rsidR="00134D81" w:rsidRPr="00CB07A5">
        <w:rPr>
          <w:rFonts w:asciiTheme="majorBidi" w:eastAsia="Times New Roman" w:hAnsiTheme="majorBidi" w:cstheme="majorBidi"/>
          <w:sz w:val="24"/>
          <w:szCs w:val="24"/>
        </w:rPr>
        <w:t>Impact of COVID-19 Pandemic on the Socio-economic Conditions of Palestinian Households Survey, 2020</w:t>
      </w:r>
      <w:r w:rsidR="00134D81">
        <w:rPr>
          <w:rFonts w:asciiTheme="majorBidi" w:eastAsia="Times New Roman" w:hAnsiTheme="majorBidi" w:cstheme="majorBidi"/>
          <w:sz w:val="24"/>
          <w:szCs w:val="24"/>
        </w:rPr>
        <w:t>”</w:t>
      </w:r>
      <w:r w:rsidR="00EF044C">
        <w:rPr>
          <w:rFonts w:asciiTheme="majorBidi" w:eastAsia="Times New Roman" w:hAnsiTheme="majorBidi" w:cstheme="majorBidi"/>
          <w:sz w:val="24"/>
          <w:szCs w:val="24"/>
        </w:rPr>
        <w:t xml:space="preserve"> (COVID-19</w:t>
      </w:r>
      <w:r w:rsidR="002C786D">
        <w:rPr>
          <w:rFonts w:asciiTheme="majorBidi" w:eastAsia="Times New Roman" w:hAnsiTheme="majorBidi" w:cstheme="majorBidi"/>
          <w:sz w:val="24"/>
          <w:szCs w:val="24"/>
        </w:rPr>
        <w:t xml:space="preserve"> survey</w:t>
      </w:r>
      <w:r w:rsidR="00EF044C">
        <w:rPr>
          <w:rFonts w:asciiTheme="majorBidi" w:eastAsia="Times New Roman" w:hAnsiTheme="majorBidi" w:cstheme="majorBidi"/>
          <w:sz w:val="24"/>
          <w:szCs w:val="24"/>
        </w:rPr>
        <w:t>)</w:t>
      </w:r>
      <w:r w:rsidR="00AE134D">
        <w:rPr>
          <w:rStyle w:val="FootnoteReference"/>
          <w:rFonts w:asciiTheme="majorBidi" w:eastAsia="Times New Roman" w:hAnsiTheme="majorBidi" w:cstheme="majorBidi"/>
          <w:sz w:val="24"/>
          <w:szCs w:val="24"/>
        </w:rPr>
        <w:footnoteReference w:id="1"/>
      </w:r>
      <w:r w:rsidR="00134D81">
        <w:rPr>
          <w:rFonts w:asciiTheme="majorBidi" w:eastAsia="Times New Roman" w:hAnsiTheme="majorBidi" w:cstheme="majorBidi"/>
          <w:sz w:val="24"/>
          <w:szCs w:val="24"/>
        </w:rPr>
        <w:t>, and</w:t>
      </w:r>
      <w:r w:rsidR="00134D81" w:rsidRPr="00536667">
        <w:rPr>
          <w:rFonts w:asciiTheme="majorBidi" w:eastAsia="Times New Roman" w:hAnsiTheme="majorBidi" w:cstheme="majorBidi"/>
          <w:sz w:val="24"/>
          <w:szCs w:val="24"/>
        </w:rPr>
        <w:t xml:space="preserve"> </w:t>
      </w:r>
      <w:r w:rsidR="00134D81">
        <w:rPr>
          <w:rFonts w:asciiTheme="majorBidi" w:eastAsia="Times New Roman" w:hAnsiTheme="majorBidi" w:cstheme="majorBidi"/>
          <w:sz w:val="24"/>
          <w:szCs w:val="24"/>
        </w:rPr>
        <w:t>“L</w:t>
      </w:r>
      <w:r w:rsidR="00134D81" w:rsidRPr="00536667">
        <w:rPr>
          <w:rFonts w:asciiTheme="majorBidi" w:eastAsia="Times New Roman" w:hAnsiTheme="majorBidi" w:cstheme="majorBidi"/>
          <w:sz w:val="24"/>
          <w:szCs w:val="24"/>
        </w:rPr>
        <w:t xml:space="preserve">abor </w:t>
      </w:r>
      <w:r w:rsidR="00134D81">
        <w:rPr>
          <w:rFonts w:asciiTheme="majorBidi" w:eastAsia="Times New Roman" w:hAnsiTheme="majorBidi" w:cstheme="majorBidi"/>
          <w:sz w:val="24"/>
          <w:szCs w:val="24"/>
        </w:rPr>
        <w:t>F</w:t>
      </w:r>
      <w:r w:rsidR="00134D81" w:rsidRPr="00536667">
        <w:rPr>
          <w:rFonts w:asciiTheme="majorBidi" w:eastAsia="Times New Roman" w:hAnsiTheme="majorBidi" w:cstheme="majorBidi"/>
          <w:sz w:val="24"/>
          <w:szCs w:val="24"/>
        </w:rPr>
        <w:t>orce survey</w:t>
      </w:r>
      <w:r w:rsidR="00EF044C">
        <w:rPr>
          <w:rFonts w:asciiTheme="majorBidi" w:eastAsia="Times New Roman" w:hAnsiTheme="majorBidi" w:cstheme="majorBidi"/>
          <w:sz w:val="24"/>
          <w:szCs w:val="24"/>
        </w:rPr>
        <w:t>,</w:t>
      </w:r>
      <w:r w:rsidR="00134D81">
        <w:rPr>
          <w:rFonts w:asciiTheme="majorBidi" w:eastAsia="Times New Roman" w:hAnsiTheme="majorBidi" w:cstheme="majorBidi"/>
          <w:sz w:val="24"/>
          <w:szCs w:val="24"/>
        </w:rPr>
        <w:t xml:space="preserve"> 2020</w:t>
      </w:r>
      <w:r w:rsidR="00EF044C">
        <w:rPr>
          <w:rFonts w:asciiTheme="majorBidi" w:eastAsia="Times New Roman" w:hAnsiTheme="majorBidi" w:cstheme="majorBidi"/>
          <w:sz w:val="24"/>
          <w:szCs w:val="24"/>
        </w:rPr>
        <w:t>”</w:t>
      </w:r>
      <w:r w:rsidR="002C786D">
        <w:rPr>
          <w:rFonts w:asciiTheme="majorBidi" w:eastAsia="Times New Roman" w:hAnsiTheme="majorBidi" w:cstheme="majorBidi"/>
          <w:sz w:val="24"/>
          <w:szCs w:val="24"/>
        </w:rPr>
        <w:t xml:space="preserve"> (LFS)</w:t>
      </w:r>
      <w:r w:rsidR="00AE134D">
        <w:rPr>
          <w:rStyle w:val="FootnoteReference"/>
          <w:rFonts w:asciiTheme="majorBidi" w:eastAsia="Times New Roman" w:hAnsiTheme="majorBidi" w:cstheme="majorBidi"/>
          <w:sz w:val="24"/>
          <w:szCs w:val="24"/>
        </w:rPr>
        <w:footnoteReference w:id="2"/>
      </w:r>
      <w:r w:rsidR="00134D81">
        <w:rPr>
          <w:rFonts w:asciiTheme="majorBidi" w:eastAsia="Times New Roman" w:hAnsiTheme="majorBidi" w:cstheme="majorBidi"/>
          <w:sz w:val="24"/>
          <w:szCs w:val="24"/>
        </w:rPr>
        <w:t>.</w:t>
      </w:r>
      <w:r w:rsidRPr="00E85BBA">
        <w:rPr>
          <w:rFonts w:asciiTheme="majorBidi" w:eastAsia="Times New Roman" w:hAnsiTheme="majorBidi" w:cstheme="majorBidi"/>
          <w:sz w:val="24"/>
          <w:szCs w:val="24"/>
        </w:rPr>
        <w:t xml:space="preserve"> </w:t>
      </w:r>
    </w:p>
    <w:p w14:paraId="07A978FA" w14:textId="0B92B9C2" w:rsidR="006C1623" w:rsidRDefault="006C1623" w:rsidP="00134D81">
      <w:pPr>
        <w:spacing w:after="0" w:line="240" w:lineRule="auto"/>
        <w:jc w:val="both"/>
        <w:rPr>
          <w:rFonts w:asciiTheme="majorBidi" w:eastAsia="Times New Roman" w:hAnsiTheme="majorBidi" w:cstheme="majorBidi"/>
          <w:sz w:val="24"/>
          <w:szCs w:val="24"/>
        </w:rPr>
      </w:pPr>
    </w:p>
    <w:p w14:paraId="7BB89E89" w14:textId="47DFB96F" w:rsidR="00CC48C5" w:rsidRDefault="00C025CE" w:rsidP="00CE650F">
      <w:pPr>
        <w:tabs>
          <w:tab w:val="left" w:pos="360"/>
        </w:tabs>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CATI</w:t>
      </w:r>
      <w:r w:rsidR="00F46CE2" w:rsidRPr="00E85BBA">
        <w:rPr>
          <w:rFonts w:asciiTheme="majorBidi" w:eastAsia="Times New Roman" w:hAnsiTheme="majorBidi" w:cstheme="majorBidi"/>
          <w:sz w:val="24"/>
          <w:szCs w:val="24"/>
        </w:rPr>
        <w:t xml:space="preserve"> </w:t>
      </w:r>
      <w:r w:rsidR="00A63BF1">
        <w:rPr>
          <w:rFonts w:asciiTheme="majorBidi" w:eastAsia="Times New Roman" w:hAnsiTheme="majorBidi" w:cstheme="majorBidi"/>
          <w:sz w:val="24"/>
          <w:szCs w:val="24"/>
        </w:rPr>
        <w:t>mode</w:t>
      </w:r>
      <w:r w:rsidR="00E759A9" w:rsidRPr="00E85BBA">
        <w:rPr>
          <w:rFonts w:asciiTheme="majorBidi" w:eastAsia="Times New Roman" w:hAnsiTheme="majorBidi" w:cstheme="majorBidi"/>
          <w:sz w:val="24"/>
          <w:szCs w:val="24"/>
        </w:rPr>
        <w:t xml:space="preserve"> </w:t>
      </w:r>
      <w:r w:rsidR="00F46CE2" w:rsidRPr="00E85BBA">
        <w:rPr>
          <w:rFonts w:asciiTheme="majorBidi" w:eastAsia="Times New Roman" w:hAnsiTheme="majorBidi" w:cstheme="majorBidi"/>
          <w:sz w:val="24"/>
          <w:szCs w:val="24"/>
        </w:rPr>
        <w:t xml:space="preserve">of data collection in conducting </w:t>
      </w:r>
      <w:r w:rsidR="007A46F6" w:rsidRPr="00E85BBA">
        <w:rPr>
          <w:rFonts w:asciiTheme="majorBidi" w:eastAsia="Times New Roman" w:hAnsiTheme="majorBidi" w:cstheme="majorBidi"/>
          <w:sz w:val="24"/>
          <w:szCs w:val="24"/>
        </w:rPr>
        <w:t>surveys</w:t>
      </w:r>
      <w:r w:rsidR="00F46CE2" w:rsidRPr="00E85BBA">
        <w:rPr>
          <w:rFonts w:asciiTheme="majorBidi" w:eastAsia="Times New Roman" w:hAnsiTheme="majorBidi" w:cstheme="majorBidi"/>
          <w:sz w:val="24"/>
          <w:szCs w:val="24"/>
        </w:rPr>
        <w:t xml:space="preserve"> </w:t>
      </w:r>
      <w:proofErr w:type="gramStart"/>
      <w:r w:rsidR="007A46F6">
        <w:rPr>
          <w:rFonts w:asciiTheme="majorBidi" w:eastAsia="Times New Roman" w:hAnsiTheme="majorBidi" w:cstheme="majorBidi"/>
          <w:sz w:val="24"/>
          <w:szCs w:val="24"/>
        </w:rPr>
        <w:t xml:space="preserve">is </w:t>
      </w:r>
      <w:r w:rsidR="00F46CE2" w:rsidRPr="00E85BBA">
        <w:rPr>
          <w:rFonts w:asciiTheme="majorBidi" w:eastAsia="Times New Roman" w:hAnsiTheme="majorBidi" w:cstheme="majorBidi"/>
          <w:sz w:val="24"/>
          <w:szCs w:val="24"/>
        </w:rPr>
        <w:t>used</w:t>
      </w:r>
      <w:proofErr w:type="gramEnd"/>
      <w:r w:rsidR="00F46CE2" w:rsidRPr="00E85BBA">
        <w:rPr>
          <w:rFonts w:asciiTheme="majorBidi" w:eastAsia="Times New Roman" w:hAnsiTheme="majorBidi" w:cstheme="majorBidi"/>
          <w:sz w:val="24"/>
          <w:szCs w:val="24"/>
        </w:rPr>
        <w:t xml:space="preserve"> in a wide range by many countries even before </w:t>
      </w:r>
      <w:r w:rsidR="008D09CA">
        <w:rPr>
          <w:rFonts w:asciiTheme="majorBidi" w:eastAsia="Times New Roman" w:hAnsiTheme="majorBidi" w:cstheme="majorBidi"/>
          <w:sz w:val="24"/>
          <w:szCs w:val="24"/>
        </w:rPr>
        <w:t>COVID-19</w:t>
      </w:r>
      <w:r w:rsidR="008D09CA" w:rsidRPr="00E85BBA">
        <w:rPr>
          <w:rFonts w:asciiTheme="majorBidi" w:eastAsia="Times New Roman" w:hAnsiTheme="majorBidi" w:cstheme="majorBidi"/>
          <w:sz w:val="24"/>
          <w:szCs w:val="24"/>
        </w:rPr>
        <w:t xml:space="preserve"> </w:t>
      </w:r>
      <w:r w:rsidR="00F46CE2" w:rsidRPr="00E85BBA">
        <w:rPr>
          <w:rFonts w:asciiTheme="majorBidi" w:eastAsia="Times New Roman" w:hAnsiTheme="majorBidi" w:cstheme="majorBidi"/>
          <w:sz w:val="24"/>
          <w:szCs w:val="24"/>
        </w:rPr>
        <w:t>pandemic</w:t>
      </w:r>
      <w:r w:rsidR="00CE650F">
        <w:rPr>
          <w:rFonts w:asciiTheme="majorBidi" w:eastAsia="Times New Roman" w:hAnsiTheme="majorBidi" w:cstheme="majorBidi"/>
          <w:sz w:val="24"/>
          <w:szCs w:val="24"/>
        </w:rPr>
        <w:t>. A</w:t>
      </w:r>
      <w:r w:rsidR="000638C3">
        <w:rPr>
          <w:rFonts w:asciiTheme="majorBidi" w:eastAsia="Times New Roman" w:hAnsiTheme="majorBidi" w:cstheme="majorBidi"/>
          <w:sz w:val="24"/>
          <w:szCs w:val="24"/>
        </w:rPr>
        <w:t xml:space="preserve">s </w:t>
      </w:r>
      <w:r w:rsidR="0039026F">
        <w:rPr>
          <w:rFonts w:asciiTheme="majorBidi" w:eastAsia="Times New Roman" w:hAnsiTheme="majorBidi" w:cstheme="majorBidi"/>
          <w:sz w:val="24"/>
          <w:szCs w:val="24"/>
        </w:rPr>
        <w:t xml:space="preserve">a review of the literature on </w:t>
      </w:r>
      <w:r w:rsidR="003B1179">
        <w:rPr>
          <w:rFonts w:asciiTheme="majorBidi" w:eastAsia="Times New Roman" w:hAnsiTheme="majorBidi" w:cstheme="majorBidi"/>
          <w:sz w:val="24"/>
          <w:szCs w:val="24"/>
        </w:rPr>
        <w:t>“</w:t>
      </w:r>
      <w:r w:rsidR="00EC7935" w:rsidRPr="00EC7935">
        <w:rPr>
          <w:rFonts w:asciiTheme="majorBidi" w:eastAsia="Times New Roman" w:hAnsiTheme="majorBidi" w:cstheme="majorBidi"/>
          <w:sz w:val="24"/>
          <w:szCs w:val="24"/>
        </w:rPr>
        <w:t xml:space="preserve">Quality report of the European Union </w:t>
      </w:r>
      <w:r w:rsidR="00147F69" w:rsidRPr="00EC7935">
        <w:rPr>
          <w:rFonts w:asciiTheme="majorBidi" w:eastAsia="Times New Roman" w:hAnsiTheme="majorBidi" w:cstheme="majorBidi"/>
          <w:sz w:val="24"/>
          <w:szCs w:val="24"/>
        </w:rPr>
        <w:t>Labo</w:t>
      </w:r>
      <w:r w:rsidR="00147F69">
        <w:rPr>
          <w:rFonts w:asciiTheme="majorBidi" w:eastAsia="Times New Roman" w:hAnsiTheme="majorBidi" w:cstheme="majorBidi"/>
          <w:sz w:val="24"/>
          <w:szCs w:val="24"/>
        </w:rPr>
        <w:t>r</w:t>
      </w:r>
      <w:r w:rsidR="00EC7935" w:rsidRPr="00EC7935">
        <w:rPr>
          <w:rFonts w:asciiTheme="majorBidi" w:eastAsia="Times New Roman" w:hAnsiTheme="majorBidi" w:cstheme="majorBidi"/>
          <w:sz w:val="24"/>
          <w:szCs w:val="24"/>
        </w:rPr>
        <w:t xml:space="preserve"> Force Survey 2017</w:t>
      </w:r>
      <w:r w:rsidR="003B1179">
        <w:rPr>
          <w:rFonts w:asciiTheme="majorBidi" w:eastAsia="Times New Roman" w:hAnsiTheme="majorBidi" w:cstheme="majorBidi"/>
          <w:sz w:val="24"/>
          <w:szCs w:val="24"/>
        </w:rPr>
        <w:t>”</w:t>
      </w:r>
      <w:r w:rsidR="00EC7935" w:rsidRPr="00EC7935">
        <w:rPr>
          <w:rFonts w:asciiTheme="majorBidi" w:eastAsia="Times New Roman" w:hAnsiTheme="majorBidi" w:cstheme="majorBidi"/>
          <w:sz w:val="24"/>
          <w:szCs w:val="24"/>
        </w:rPr>
        <w:t xml:space="preserve"> reveals </w:t>
      </w:r>
      <w:r w:rsidR="00CE650F" w:rsidRPr="00EC7935">
        <w:rPr>
          <w:rFonts w:asciiTheme="majorBidi" w:eastAsia="Times New Roman" w:hAnsiTheme="majorBidi" w:cstheme="majorBidi"/>
          <w:sz w:val="24"/>
          <w:szCs w:val="24"/>
        </w:rPr>
        <w:t>that,</w:t>
      </w:r>
      <w:r w:rsidR="00EC7935" w:rsidRPr="00EC7935">
        <w:rPr>
          <w:rFonts w:asciiTheme="majorBidi" w:eastAsia="Times New Roman" w:hAnsiTheme="majorBidi" w:cstheme="majorBidi"/>
          <w:sz w:val="24"/>
          <w:szCs w:val="24"/>
        </w:rPr>
        <w:t xml:space="preserve"> the </w:t>
      </w:r>
      <w:r w:rsidR="003B1179">
        <w:rPr>
          <w:rFonts w:asciiTheme="majorBidi" w:eastAsia="Times New Roman" w:hAnsiTheme="majorBidi" w:cstheme="majorBidi"/>
          <w:sz w:val="24"/>
          <w:szCs w:val="24"/>
        </w:rPr>
        <w:t>percentage</w:t>
      </w:r>
      <w:r w:rsidR="00EC7935" w:rsidRPr="00EC7935">
        <w:rPr>
          <w:rFonts w:asciiTheme="majorBidi" w:eastAsia="Times New Roman" w:hAnsiTheme="majorBidi" w:cstheme="majorBidi"/>
          <w:sz w:val="24"/>
          <w:szCs w:val="24"/>
        </w:rPr>
        <w:t xml:space="preserve"> of interviews using CATI mode </w:t>
      </w:r>
      <w:r w:rsidR="00903014">
        <w:rPr>
          <w:rFonts w:asciiTheme="majorBidi" w:eastAsia="Times New Roman" w:hAnsiTheme="majorBidi" w:cstheme="majorBidi"/>
          <w:sz w:val="24"/>
          <w:szCs w:val="24"/>
        </w:rPr>
        <w:t>for this household survey</w:t>
      </w:r>
      <w:r w:rsidR="00EC7935" w:rsidRPr="00EC7935">
        <w:rPr>
          <w:rFonts w:asciiTheme="majorBidi" w:eastAsia="Times New Roman" w:hAnsiTheme="majorBidi" w:cstheme="majorBidi"/>
          <w:sz w:val="24"/>
          <w:szCs w:val="24"/>
        </w:rPr>
        <w:t xml:space="preserve"> reached </w:t>
      </w:r>
      <w:r w:rsidR="003B1179">
        <w:rPr>
          <w:rFonts w:asciiTheme="majorBidi" w:eastAsia="Times New Roman" w:hAnsiTheme="majorBidi" w:cstheme="majorBidi"/>
          <w:sz w:val="24"/>
          <w:szCs w:val="24"/>
        </w:rPr>
        <w:t xml:space="preserve">46.8% </w:t>
      </w:r>
      <w:r w:rsidR="00EC7935" w:rsidRPr="00EC7935">
        <w:rPr>
          <w:rFonts w:asciiTheme="majorBidi" w:eastAsia="Times New Roman" w:hAnsiTheme="majorBidi" w:cstheme="majorBidi"/>
          <w:sz w:val="24"/>
          <w:szCs w:val="24"/>
        </w:rPr>
        <w:t>among the European Union countries</w:t>
      </w:r>
      <w:r w:rsidR="003B1179">
        <w:rPr>
          <w:rStyle w:val="FootnoteReference"/>
          <w:rFonts w:asciiTheme="majorBidi" w:eastAsia="Times New Roman" w:hAnsiTheme="majorBidi" w:cstheme="majorBidi"/>
          <w:sz w:val="24"/>
          <w:szCs w:val="24"/>
        </w:rPr>
        <w:footnoteReference w:id="3"/>
      </w:r>
      <w:r w:rsidR="00EC7935">
        <w:rPr>
          <w:rFonts w:asciiTheme="majorBidi" w:eastAsia="Times New Roman" w:hAnsiTheme="majorBidi" w:cstheme="majorBidi"/>
          <w:sz w:val="24"/>
          <w:szCs w:val="24"/>
        </w:rPr>
        <w:t xml:space="preserve">. </w:t>
      </w:r>
      <w:r w:rsidR="0015405B" w:rsidRPr="00A63BF1">
        <w:rPr>
          <w:rFonts w:asciiTheme="majorBidi" w:eastAsia="Times New Roman" w:hAnsiTheme="majorBidi" w:cstheme="majorBidi"/>
          <w:sz w:val="24"/>
          <w:szCs w:val="24"/>
        </w:rPr>
        <w:t xml:space="preserve">However, </w:t>
      </w:r>
      <w:r w:rsidR="0015405B">
        <w:rPr>
          <w:rFonts w:asciiTheme="majorBidi" w:eastAsia="Times New Roman" w:hAnsiTheme="majorBidi" w:cstheme="majorBidi"/>
          <w:sz w:val="24"/>
          <w:szCs w:val="24"/>
        </w:rPr>
        <w:t>this mode of data collection</w:t>
      </w:r>
      <w:r w:rsidR="00903014">
        <w:rPr>
          <w:rFonts w:asciiTheme="majorBidi" w:eastAsia="Times New Roman" w:hAnsiTheme="majorBidi" w:cstheme="majorBidi"/>
          <w:sz w:val="24"/>
          <w:szCs w:val="24"/>
        </w:rPr>
        <w:t xml:space="preserve"> in PCBS</w:t>
      </w:r>
      <w:r w:rsidR="0015405B">
        <w:rPr>
          <w:rFonts w:asciiTheme="majorBidi" w:eastAsia="Times New Roman" w:hAnsiTheme="majorBidi" w:cstheme="majorBidi"/>
          <w:sz w:val="24"/>
          <w:szCs w:val="24"/>
        </w:rPr>
        <w:t xml:space="preserve"> is</w:t>
      </w:r>
      <w:r w:rsidR="00F46CE2" w:rsidRPr="00E85BBA">
        <w:rPr>
          <w:rFonts w:asciiTheme="majorBidi" w:eastAsia="Times New Roman" w:hAnsiTheme="majorBidi" w:cstheme="majorBidi"/>
          <w:sz w:val="24"/>
          <w:szCs w:val="24"/>
        </w:rPr>
        <w:t xml:space="preserve"> a recent use</w:t>
      </w:r>
      <w:r w:rsidR="00C1693C" w:rsidRPr="00E85BBA">
        <w:rPr>
          <w:rFonts w:asciiTheme="majorBidi" w:eastAsia="Times New Roman" w:hAnsiTheme="majorBidi" w:cstheme="majorBidi"/>
          <w:sz w:val="24"/>
          <w:szCs w:val="24"/>
        </w:rPr>
        <w:t>.</w:t>
      </w:r>
      <w:r w:rsidR="00CC48C5" w:rsidRPr="00E85BBA">
        <w:rPr>
          <w:rFonts w:asciiTheme="majorBidi" w:eastAsia="Times New Roman" w:hAnsiTheme="majorBidi" w:cstheme="majorBidi"/>
          <w:sz w:val="24"/>
          <w:szCs w:val="24"/>
        </w:rPr>
        <w:t xml:space="preserve"> </w:t>
      </w:r>
      <w:r w:rsidR="00CC40EB" w:rsidRPr="00E85BBA">
        <w:rPr>
          <w:rFonts w:asciiTheme="majorBidi" w:eastAsia="Times New Roman" w:hAnsiTheme="majorBidi" w:cstheme="majorBidi"/>
          <w:sz w:val="24"/>
          <w:szCs w:val="24"/>
        </w:rPr>
        <w:t xml:space="preserve">The need for this kind of </w:t>
      </w:r>
      <w:r w:rsidR="00A63BF1">
        <w:rPr>
          <w:rFonts w:asciiTheme="majorBidi" w:eastAsia="Times New Roman" w:hAnsiTheme="majorBidi" w:cstheme="majorBidi"/>
          <w:sz w:val="24"/>
          <w:szCs w:val="24"/>
        </w:rPr>
        <w:t>approach</w:t>
      </w:r>
      <w:r w:rsidR="005C3A82" w:rsidRPr="00E85BBA">
        <w:rPr>
          <w:rFonts w:asciiTheme="majorBidi" w:eastAsia="Times New Roman" w:hAnsiTheme="majorBidi" w:cstheme="majorBidi"/>
          <w:sz w:val="24"/>
          <w:szCs w:val="24"/>
        </w:rPr>
        <w:t xml:space="preserve"> </w:t>
      </w:r>
      <w:r w:rsidR="00CC40EB" w:rsidRPr="00E85BBA">
        <w:rPr>
          <w:rFonts w:asciiTheme="majorBidi" w:eastAsia="Times New Roman" w:hAnsiTheme="majorBidi" w:cstheme="majorBidi"/>
          <w:sz w:val="24"/>
          <w:szCs w:val="24"/>
        </w:rPr>
        <w:t xml:space="preserve">arises through </w:t>
      </w:r>
      <w:r w:rsidR="00CC48C5" w:rsidRPr="00E85BBA">
        <w:rPr>
          <w:rFonts w:asciiTheme="majorBidi" w:eastAsia="Times New Roman" w:hAnsiTheme="majorBidi" w:cstheme="majorBidi"/>
          <w:sz w:val="24"/>
          <w:szCs w:val="24"/>
        </w:rPr>
        <w:t>the time of COV</w:t>
      </w:r>
      <w:r w:rsidR="004C4BBE" w:rsidRPr="00E85BBA">
        <w:rPr>
          <w:rFonts w:asciiTheme="majorBidi" w:eastAsia="Times New Roman" w:hAnsiTheme="majorBidi" w:cstheme="majorBidi"/>
          <w:sz w:val="24"/>
          <w:szCs w:val="24"/>
        </w:rPr>
        <w:t>I</w:t>
      </w:r>
      <w:r w:rsidR="00CC48C5" w:rsidRPr="00E85BBA">
        <w:rPr>
          <w:rFonts w:asciiTheme="majorBidi" w:eastAsia="Times New Roman" w:hAnsiTheme="majorBidi" w:cstheme="majorBidi"/>
          <w:sz w:val="24"/>
          <w:szCs w:val="24"/>
        </w:rPr>
        <w:t>D-19</w:t>
      </w:r>
      <w:r w:rsidR="005C3A82">
        <w:rPr>
          <w:rFonts w:asciiTheme="majorBidi" w:eastAsia="Times New Roman" w:hAnsiTheme="majorBidi" w:cstheme="majorBidi"/>
          <w:sz w:val="24"/>
          <w:szCs w:val="24"/>
        </w:rPr>
        <w:t xml:space="preserve"> pandemic</w:t>
      </w:r>
      <w:r w:rsidR="007A46F6">
        <w:rPr>
          <w:rFonts w:asciiTheme="majorBidi" w:eastAsia="Times New Roman" w:hAnsiTheme="majorBidi" w:cstheme="majorBidi"/>
          <w:sz w:val="24"/>
          <w:szCs w:val="24"/>
        </w:rPr>
        <w:t xml:space="preserve"> </w:t>
      </w:r>
      <w:r w:rsidR="00CC40EB" w:rsidRPr="00E85BBA">
        <w:rPr>
          <w:rFonts w:asciiTheme="majorBidi" w:eastAsia="Times New Roman" w:hAnsiTheme="majorBidi" w:cstheme="majorBidi"/>
          <w:sz w:val="24"/>
          <w:szCs w:val="24"/>
        </w:rPr>
        <w:t xml:space="preserve">to be used </w:t>
      </w:r>
      <w:r w:rsidR="00CC48C5" w:rsidRPr="00E85BBA">
        <w:rPr>
          <w:rFonts w:asciiTheme="majorBidi" w:eastAsia="Times New Roman" w:hAnsiTheme="majorBidi" w:cstheme="majorBidi"/>
          <w:sz w:val="24"/>
          <w:szCs w:val="24"/>
        </w:rPr>
        <w:t xml:space="preserve">as the main tool of data collection in many surveys. It mainly depends on using the phone to contact the respondent, </w:t>
      </w:r>
      <w:r w:rsidR="007A46F6" w:rsidRPr="00E85BBA">
        <w:rPr>
          <w:rFonts w:asciiTheme="majorBidi" w:eastAsia="Times New Roman" w:hAnsiTheme="majorBidi" w:cstheme="majorBidi"/>
          <w:sz w:val="24"/>
          <w:szCs w:val="24"/>
        </w:rPr>
        <w:t>where</w:t>
      </w:r>
      <w:r w:rsidR="00CC48C5" w:rsidRPr="00E85BBA">
        <w:rPr>
          <w:rFonts w:asciiTheme="majorBidi" w:eastAsia="Times New Roman" w:hAnsiTheme="majorBidi" w:cstheme="majorBidi"/>
          <w:sz w:val="24"/>
          <w:szCs w:val="24"/>
        </w:rPr>
        <w:t xml:space="preserve"> the </w:t>
      </w:r>
      <w:r w:rsidR="0035766E">
        <w:rPr>
          <w:rFonts w:asciiTheme="majorBidi" w:eastAsia="Times New Roman" w:hAnsiTheme="majorBidi" w:cstheme="majorBidi"/>
          <w:sz w:val="24"/>
          <w:szCs w:val="24"/>
        </w:rPr>
        <w:t>interviewer</w:t>
      </w:r>
      <w:r w:rsidR="0035766E" w:rsidRPr="00E85BBA">
        <w:rPr>
          <w:rFonts w:asciiTheme="majorBidi" w:eastAsia="Times New Roman" w:hAnsiTheme="majorBidi" w:cstheme="majorBidi"/>
          <w:sz w:val="24"/>
          <w:szCs w:val="24"/>
        </w:rPr>
        <w:t xml:space="preserve"> </w:t>
      </w:r>
      <w:r w:rsidR="00CC48C5" w:rsidRPr="00E85BBA">
        <w:rPr>
          <w:rFonts w:asciiTheme="majorBidi" w:eastAsia="Times New Roman" w:hAnsiTheme="majorBidi" w:cstheme="majorBidi"/>
          <w:sz w:val="24"/>
          <w:szCs w:val="24"/>
        </w:rPr>
        <w:t xml:space="preserve">can conduct the interview with the respondent in the form of a telephone conversation, and the interview is conducted through an application on the tablet device that reflects the survey form. The application is designed to collect data over the phone, and allow the researcher to </w:t>
      </w:r>
      <w:r w:rsidR="007A46F6" w:rsidRPr="00E85BBA">
        <w:rPr>
          <w:rFonts w:asciiTheme="majorBidi" w:eastAsia="Times New Roman" w:hAnsiTheme="majorBidi" w:cstheme="majorBidi"/>
          <w:sz w:val="24"/>
          <w:szCs w:val="24"/>
        </w:rPr>
        <w:t xml:space="preserve">move </w:t>
      </w:r>
      <w:r w:rsidR="00CC48C5" w:rsidRPr="00E85BBA">
        <w:rPr>
          <w:rFonts w:asciiTheme="majorBidi" w:eastAsia="Times New Roman" w:hAnsiTheme="majorBidi" w:cstheme="majorBidi"/>
          <w:sz w:val="24"/>
          <w:szCs w:val="24"/>
        </w:rPr>
        <w:t>automatically through questions whenever needed. Data can be easily entered and submitted to PCBS headquarter for the purpose of data checking and audit</w:t>
      </w:r>
      <w:r w:rsidR="004C4BBE" w:rsidRPr="00E85BBA">
        <w:rPr>
          <w:rFonts w:asciiTheme="majorBidi" w:eastAsia="Times New Roman" w:hAnsiTheme="majorBidi" w:cstheme="majorBidi"/>
          <w:sz w:val="24"/>
          <w:szCs w:val="24"/>
        </w:rPr>
        <w:t>ing</w:t>
      </w:r>
      <w:r w:rsidR="00CC48C5" w:rsidRPr="00E85BBA">
        <w:rPr>
          <w:rFonts w:asciiTheme="majorBidi" w:eastAsia="Times New Roman" w:hAnsiTheme="majorBidi" w:cstheme="majorBidi"/>
          <w:sz w:val="24"/>
          <w:szCs w:val="24"/>
        </w:rPr>
        <w:t xml:space="preserve">. </w:t>
      </w:r>
    </w:p>
    <w:p w14:paraId="334034B5" w14:textId="5ECC6F8E" w:rsidR="00C025CE" w:rsidRDefault="00C025CE" w:rsidP="005E640B">
      <w:pPr>
        <w:tabs>
          <w:tab w:val="left" w:pos="360"/>
        </w:tabs>
        <w:spacing w:after="0" w:line="240" w:lineRule="auto"/>
        <w:jc w:val="both"/>
        <w:rPr>
          <w:rFonts w:asciiTheme="majorBidi" w:eastAsia="Times New Roman" w:hAnsiTheme="majorBidi" w:cstheme="majorBidi"/>
          <w:sz w:val="24"/>
          <w:szCs w:val="24"/>
          <w:rtl/>
        </w:rPr>
      </w:pPr>
    </w:p>
    <w:p w14:paraId="2D56E68C" w14:textId="4D90E909" w:rsidR="00843A6A" w:rsidRDefault="00C025CE" w:rsidP="004B354D">
      <w:pPr>
        <w:spacing w:after="0" w:line="240" w:lineRule="auto"/>
        <w:jc w:val="both"/>
        <w:rPr>
          <w:rFonts w:asciiTheme="majorBidi" w:eastAsia="Times New Roman" w:hAnsiTheme="majorBidi" w:cstheme="majorBidi"/>
          <w:sz w:val="24"/>
          <w:szCs w:val="24"/>
        </w:rPr>
      </w:pPr>
      <w:r w:rsidRPr="006C1623">
        <w:rPr>
          <w:rFonts w:asciiTheme="majorBidi" w:eastAsia="Times New Roman" w:hAnsiTheme="majorBidi" w:cstheme="majorBidi"/>
          <w:sz w:val="24"/>
          <w:szCs w:val="24"/>
        </w:rPr>
        <w:t>This paper discusses the effect that CATI approach have on data quality through studying some of the standard tools for measuring data quality, such as: The Development of a Self-Assessment Program (DESAP), Quality Reports and Indicators (based on quality dimensions), and the European Statistics Code of Practice (COP)</w:t>
      </w:r>
      <w:r w:rsidR="009B2B32">
        <w:rPr>
          <w:rFonts w:asciiTheme="majorBidi" w:eastAsia="Times New Roman" w:hAnsiTheme="majorBidi" w:cstheme="majorBidi"/>
          <w:sz w:val="24"/>
          <w:szCs w:val="24"/>
        </w:rPr>
        <w:t xml:space="preserve">. It also studies </w:t>
      </w:r>
      <w:r w:rsidR="00815D9F">
        <w:rPr>
          <w:rFonts w:asciiTheme="majorBidi" w:eastAsia="Times New Roman" w:hAnsiTheme="majorBidi" w:cstheme="majorBidi"/>
          <w:sz w:val="24"/>
          <w:szCs w:val="24"/>
        </w:rPr>
        <w:t xml:space="preserve">data quality measurements </w:t>
      </w:r>
      <w:r w:rsidRPr="006C1623">
        <w:rPr>
          <w:rFonts w:asciiTheme="majorBidi" w:eastAsia="Times New Roman" w:hAnsiTheme="majorBidi" w:cstheme="majorBidi"/>
          <w:sz w:val="24"/>
          <w:szCs w:val="24"/>
        </w:rPr>
        <w:t>for both “Impact of COVID-19 Pandemic on the Socio-economic Conditions of Palestinian Households Survey, 2020”, and “Labor Fo</w:t>
      </w:r>
      <w:r w:rsidR="00843A6A">
        <w:rPr>
          <w:rFonts w:asciiTheme="majorBidi" w:eastAsia="Times New Roman" w:hAnsiTheme="majorBidi" w:cstheme="majorBidi"/>
          <w:sz w:val="24"/>
          <w:szCs w:val="24"/>
        </w:rPr>
        <w:t>rce survey 2020”</w:t>
      </w:r>
      <w:r w:rsidR="00815D9F">
        <w:rPr>
          <w:rFonts w:asciiTheme="majorBidi" w:eastAsia="Times New Roman" w:hAnsiTheme="majorBidi" w:cstheme="majorBidi"/>
          <w:sz w:val="24"/>
          <w:szCs w:val="24"/>
        </w:rPr>
        <w:t xml:space="preserve"> compared to previous cycles that was conducted using </w:t>
      </w:r>
      <w:r w:rsidR="00815D9F" w:rsidRPr="00E85BBA">
        <w:rPr>
          <w:rFonts w:asciiTheme="majorBidi" w:eastAsia="Times New Roman" w:hAnsiTheme="majorBidi" w:cstheme="majorBidi"/>
          <w:sz w:val="24"/>
          <w:szCs w:val="24"/>
        </w:rPr>
        <w:t>Computer-assisted personal interviewing</w:t>
      </w:r>
      <w:r w:rsidR="00815D9F">
        <w:rPr>
          <w:rFonts w:asciiTheme="majorBidi" w:eastAsia="Times New Roman" w:hAnsiTheme="majorBidi" w:cstheme="majorBidi"/>
          <w:sz w:val="24"/>
          <w:szCs w:val="24"/>
        </w:rPr>
        <w:t xml:space="preserve"> (CAPI) which are: </w:t>
      </w:r>
      <w:r w:rsidR="00815D9F" w:rsidRPr="00E85BBA">
        <w:rPr>
          <w:rFonts w:asciiTheme="majorBidi" w:eastAsia="Times New Roman" w:hAnsiTheme="majorBidi" w:cstheme="majorBidi"/>
          <w:sz w:val="24"/>
          <w:szCs w:val="24"/>
        </w:rPr>
        <w:t xml:space="preserve">Socio-Economic Conditions survey 2018 </w:t>
      </w:r>
      <w:r w:rsidR="004B354D" w:rsidRPr="00E85BBA">
        <w:rPr>
          <w:rFonts w:asciiTheme="majorBidi" w:eastAsia="Times New Roman" w:hAnsiTheme="majorBidi" w:cstheme="majorBidi"/>
          <w:sz w:val="24"/>
          <w:szCs w:val="24"/>
        </w:rPr>
        <w:t>(</w:t>
      </w:r>
      <w:proofErr w:type="spellStart"/>
      <w:r w:rsidR="004B354D" w:rsidRPr="00E85BBA">
        <w:rPr>
          <w:rFonts w:asciiTheme="majorBidi" w:eastAsia="Times New Roman" w:hAnsiTheme="majorBidi" w:cstheme="majorBidi"/>
          <w:sz w:val="24"/>
          <w:szCs w:val="24"/>
        </w:rPr>
        <w:t>SEFSec</w:t>
      </w:r>
      <w:proofErr w:type="spellEnd"/>
      <w:r w:rsidR="004B354D" w:rsidRPr="00E85BBA">
        <w:rPr>
          <w:rFonts w:asciiTheme="majorBidi" w:eastAsia="Times New Roman" w:hAnsiTheme="majorBidi" w:cstheme="majorBidi"/>
          <w:sz w:val="24"/>
          <w:szCs w:val="24"/>
        </w:rPr>
        <w:t xml:space="preserve">) </w:t>
      </w:r>
      <w:r w:rsidR="00815D9F">
        <w:rPr>
          <w:rFonts w:asciiTheme="majorBidi" w:eastAsia="Times New Roman" w:hAnsiTheme="majorBidi" w:cstheme="majorBidi"/>
          <w:sz w:val="24"/>
          <w:szCs w:val="24"/>
        </w:rPr>
        <w:t xml:space="preserve">that has the </w:t>
      </w:r>
      <w:r w:rsidR="00815D9F" w:rsidRPr="00E85BBA">
        <w:rPr>
          <w:rFonts w:asciiTheme="majorBidi" w:eastAsia="Times New Roman" w:hAnsiTheme="majorBidi" w:cstheme="majorBidi"/>
          <w:sz w:val="24"/>
          <w:szCs w:val="24"/>
        </w:rPr>
        <w:t>same sampling units</w:t>
      </w:r>
      <w:r w:rsidR="00815D9F">
        <w:rPr>
          <w:rFonts w:asciiTheme="majorBidi" w:eastAsia="Times New Roman" w:hAnsiTheme="majorBidi" w:cstheme="majorBidi"/>
          <w:sz w:val="24"/>
          <w:szCs w:val="24"/>
        </w:rPr>
        <w:t xml:space="preserve"> as COVID-19 survey, and LFS 2019.</w:t>
      </w:r>
    </w:p>
    <w:p w14:paraId="14831945" w14:textId="77777777" w:rsidR="00815D9F" w:rsidRDefault="00815D9F" w:rsidP="00815D9F">
      <w:pPr>
        <w:spacing w:after="0" w:line="240" w:lineRule="auto"/>
        <w:jc w:val="both"/>
        <w:rPr>
          <w:rFonts w:asciiTheme="majorBidi" w:eastAsia="Times New Roman" w:hAnsiTheme="majorBidi" w:cstheme="majorBidi"/>
          <w:sz w:val="24"/>
          <w:szCs w:val="24"/>
        </w:rPr>
      </w:pPr>
    </w:p>
    <w:p w14:paraId="66325FB6" w14:textId="79D76325" w:rsidR="00EC103F" w:rsidRPr="00EC103F" w:rsidRDefault="000179C5" w:rsidP="00843A6A">
      <w:pPr>
        <w:pStyle w:val="ListParagraph"/>
        <w:numPr>
          <w:ilvl w:val="0"/>
          <w:numId w:val="1"/>
        </w:numPr>
        <w:tabs>
          <w:tab w:val="left" w:pos="810"/>
        </w:tabs>
        <w:spacing w:after="0" w:line="240" w:lineRule="auto"/>
        <w:ind w:left="270" w:hanging="270"/>
        <w:jc w:val="both"/>
        <w:rPr>
          <w:rFonts w:asciiTheme="majorBidi" w:eastAsia="Times New Roman" w:hAnsiTheme="majorBidi" w:cstheme="majorBidi"/>
          <w:sz w:val="24"/>
          <w:szCs w:val="24"/>
        </w:rPr>
      </w:pPr>
      <w:r w:rsidRPr="00EC103F">
        <w:rPr>
          <w:rFonts w:asciiTheme="majorBidi" w:eastAsia="Times New Roman" w:hAnsiTheme="majorBidi" w:cstheme="majorBidi"/>
          <w:b/>
          <w:bCs/>
          <w:sz w:val="24"/>
          <w:szCs w:val="24"/>
        </w:rPr>
        <w:t>Data Quality</w:t>
      </w:r>
      <w:r w:rsidR="00E07AAD">
        <w:rPr>
          <w:rFonts w:asciiTheme="majorBidi" w:eastAsia="Times New Roman" w:hAnsiTheme="majorBidi" w:cstheme="majorBidi"/>
          <w:b/>
          <w:bCs/>
          <w:sz w:val="24"/>
          <w:szCs w:val="24"/>
        </w:rPr>
        <w:t xml:space="preserve"> Assessment</w:t>
      </w:r>
      <w:r w:rsidRPr="00EC103F">
        <w:rPr>
          <w:rFonts w:asciiTheme="majorBidi" w:eastAsia="Times New Roman" w:hAnsiTheme="majorBidi" w:cstheme="majorBidi"/>
          <w:b/>
          <w:bCs/>
          <w:sz w:val="24"/>
          <w:szCs w:val="24"/>
        </w:rPr>
        <w:t xml:space="preserve"> </w:t>
      </w:r>
    </w:p>
    <w:p w14:paraId="5F5AC78A" w14:textId="497C63D8" w:rsidR="00B353B8" w:rsidRDefault="00CC48C5" w:rsidP="00AF650C">
      <w:pPr>
        <w:spacing w:after="0" w:line="240" w:lineRule="auto"/>
        <w:jc w:val="both"/>
        <w:rPr>
          <w:rFonts w:asciiTheme="majorBidi" w:eastAsia="Times New Roman" w:hAnsiTheme="majorBidi" w:cstheme="majorBidi"/>
          <w:sz w:val="24"/>
          <w:szCs w:val="24"/>
        </w:rPr>
      </w:pPr>
      <w:r w:rsidRPr="00EC103F">
        <w:rPr>
          <w:rFonts w:asciiTheme="majorBidi" w:eastAsia="Times New Roman" w:hAnsiTheme="majorBidi" w:cstheme="majorBidi"/>
          <w:sz w:val="24"/>
          <w:szCs w:val="24"/>
        </w:rPr>
        <w:t>A deeper understanding of how the adopted data collection approach affects data quali</w:t>
      </w:r>
      <w:r w:rsidR="00EC103F">
        <w:rPr>
          <w:rFonts w:asciiTheme="majorBidi" w:eastAsia="Times New Roman" w:hAnsiTheme="majorBidi" w:cstheme="majorBidi"/>
          <w:sz w:val="24"/>
          <w:szCs w:val="24"/>
        </w:rPr>
        <w:t xml:space="preserve">ty is </w:t>
      </w:r>
      <w:r w:rsidRPr="00EC103F">
        <w:rPr>
          <w:rFonts w:asciiTheme="majorBidi" w:eastAsia="Times New Roman" w:hAnsiTheme="majorBidi" w:cstheme="majorBidi"/>
          <w:sz w:val="24"/>
          <w:szCs w:val="24"/>
        </w:rPr>
        <w:t>crucial.</w:t>
      </w:r>
      <w:r w:rsidR="00EC103F">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 xml:space="preserve">Data </w:t>
      </w:r>
      <w:r w:rsidR="00A60E18">
        <w:rPr>
          <w:rFonts w:asciiTheme="majorBidi" w:eastAsia="Times New Roman" w:hAnsiTheme="majorBidi" w:cstheme="majorBidi"/>
          <w:sz w:val="24"/>
          <w:szCs w:val="24"/>
        </w:rPr>
        <w:t>q</w:t>
      </w:r>
      <w:r w:rsidRPr="00E85BBA">
        <w:rPr>
          <w:rFonts w:asciiTheme="majorBidi" w:eastAsia="Times New Roman" w:hAnsiTheme="majorBidi" w:cstheme="majorBidi"/>
          <w:sz w:val="24"/>
          <w:szCs w:val="24"/>
        </w:rPr>
        <w:t xml:space="preserve">uality </w:t>
      </w:r>
      <w:r w:rsidR="00A60E18">
        <w:rPr>
          <w:rFonts w:asciiTheme="majorBidi" w:eastAsia="Times New Roman" w:hAnsiTheme="majorBidi" w:cstheme="majorBidi"/>
          <w:sz w:val="24"/>
          <w:szCs w:val="24"/>
        </w:rPr>
        <w:t xml:space="preserve">assessment </w:t>
      </w:r>
      <w:r w:rsidR="00A60E18" w:rsidRPr="00A60E18">
        <w:rPr>
          <w:rFonts w:asciiTheme="majorBidi" w:eastAsia="Times New Roman" w:hAnsiTheme="majorBidi" w:cstheme="majorBidi"/>
          <w:sz w:val="24"/>
          <w:szCs w:val="24"/>
        </w:rPr>
        <w:t>throughout the survey life cycle</w:t>
      </w:r>
      <w:r w:rsidR="00BE58F4">
        <w:rPr>
          <w:rFonts w:asciiTheme="majorBidi" w:eastAsia="Times New Roman" w:hAnsiTheme="majorBidi" w:cstheme="majorBidi"/>
          <w:sz w:val="24"/>
          <w:szCs w:val="24"/>
        </w:rPr>
        <w:t xml:space="preserve"> </w:t>
      </w:r>
      <w:r w:rsidR="00A60E18">
        <w:rPr>
          <w:rFonts w:asciiTheme="majorBidi" w:eastAsia="Times New Roman" w:hAnsiTheme="majorBidi" w:cstheme="majorBidi"/>
          <w:sz w:val="24"/>
          <w:szCs w:val="24"/>
        </w:rPr>
        <w:t xml:space="preserve">according to the </w:t>
      </w:r>
      <w:r w:rsidR="00A60E18" w:rsidRPr="00A60E18">
        <w:rPr>
          <w:rFonts w:asciiTheme="majorBidi" w:eastAsia="Times New Roman" w:hAnsiTheme="majorBidi" w:cstheme="majorBidi"/>
          <w:sz w:val="24"/>
          <w:szCs w:val="24"/>
        </w:rPr>
        <w:t>Quality Assurance Framework of the European Statistical System</w:t>
      </w:r>
      <w:r w:rsidR="002E4D86">
        <w:rPr>
          <w:rFonts w:asciiTheme="majorBidi" w:eastAsia="Times New Roman" w:hAnsiTheme="majorBidi" w:cstheme="majorBidi"/>
          <w:sz w:val="24"/>
          <w:szCs w:val="24"/>
        </w:rPr>
        <w:t xml:space="preserve"> </w:t>
      </w:r>
      <w:r w:rsidR="002E4D86" w:rsidRPr="002E4D86">
        <w:rPr>
          <w:rFonts w:asciiTheme="majorBidi" w:eastAsia="Times New Roman" w:hAnsiTheme="majorBidi" w:cstheme="majorBidi"/>
          <w:sz w:val="24"/>
          <w:szCs w:val="24"/>
        </w:rPr>
        <w:t>(ESS</w:t>
      </w:r>
      <w:r w:rsidR="002E4D86">
        <w:rPr>
          <w:rFonts w:asciiTheme="majorBidi" w:eastAsia="Times New Roman" w:hAnsiTheme="majorBidi" w:cstheme="majorBidi"/>
          <w:sz w:val="24"/>
          <w:szCs w:val="24"/>
        </w:rPr>
        <w:t xml:space="preserve"> </w:t>
      </w:r>
      <w:r w:rsidR="002E4D86" w:rsidRPr="002E4D86">
        <w:rPr>
          <w:rFonts w:asciiTheme="majorBidi" w:eastAsia="Times New Roman" w:hAnsiTheme="majorBidi" w:cstheme="majorBidi"/>
          <w:sz w:val="24"/>
          <w:szCs w:val="24"/>
        </w:rPr>
        <w:t>QAF)</w:t>
      </w:r>
      <w:r w:rsidR="00A60E18">
        <w:rPr>
          <w:rStyle w:val="FootnoteReference"/>
          <w:rFonts w:asciiTheme="majorBidi" w:eastAsia="Times New Roman" w:hAnsiTheme="majorBidi" w:cstheme="majorBidi"/>
          <w:sz w:val="24"/>
          <w:szCs w:val="24"/>
        </w:rPr>
        <w:footnoteReference w:id="4"/>
      </w:r>
      <w:r w:rsidR="00A60E18">
        <w:rPr>
          <w:rFonts w:asciiTheme="majorBidi" w:eastAsia="Times New Roman" w:hAnsiTheme="majorBidi" w:cstheme="majorBidi"/>
          <w:sz w:val="24"/>
          <w:szCs w:val="24"/>
        </w:rPr>
        <w:t xml:space="preserve"> goes through the following stages: I</w:t>
      </w:r>
      <w:r w:rsidR="00A60E18" w:rsidRPr="00A60E18">
        <w:rPr>
          <w:rFonts w:asciiTheme="majorBidi" w:eastAsia="Times New Roman" w:hAnsiTheme="majorBidi" w:cstheme="majorBidi"/>
          <w:sz w:val="24"/>
          <w:szCs w:val="24"/>
        </w:rPr>
        <w:t>nstitutional environment</w:t>
      </w:r>
      <w:r w:rsidR="00035673">
        <w:rPr>
          <w:rFonts w:asciiTheme="majorBidi" w:eastAsia="Times New Roman" w:hAnsiTheme="majorBidi" w:cstheme="majorBidi"/>
          <w:sz w:val="24"/>
          <w:szCs w:val="24"/>
        </w:rPr>
        <w:t>;</w:t>
      </w:r>
      <w:r w:rsidR="00A60E18" w:rsidRPr="00A60E18">
        <w:rPr>
          <w:rFonts w:asciiTheme="majorBidi" w:eastAsia="Times New Roman" w:hAnsiTheme="majorBidi" w:cstheme="majorBidi"/>
          <w:sz w:val="24"/>
          <w:szCs w:val="24"/>
        </w:rPr>
        <w:t xml:space="preserve"> Statistical processes</w:t>
      </w:r>
      <w:r w:rsidR="00035673">
        <w:rPr>
          <w:rFonts w:asciiTheme="majorBidi" w:eastAsia="Times New Roman" w:hAnsiTheme="majorBidi" w:cstheme="majorBidi"/>
          <w:sz w:val="24"/>
          <w:szCs w:val="24"/>
        </w:rPr>
        <w:t>;</w:t>
      </w:r>
      <w:r w:rsidR="00A60E18">
        <w:rPr>
          <w:rFonts w:asciiTheme="majorBidi" w:eastAsia="Times New Roman" w:hAnsiTheme="majorBidi" w:cstheme="majorBidi"/>
          <w:sz w:val="24"/>
          <w:szCs w:val="24"/>
        </w:rPr>
        <w:t xml:space="preserve"> </w:t>
      </w:r>
      <w:r w:rsidR="00A60E18" w:rsidRPr="00A60E18">
        <w:rPr>
          <w:rFonts w:asciiTheme="majorBidi" w:eastAsia="Times New Roman" w:hAnsiTheme="majorBidi" w:cstheme="majorBidi"/>
          <w:sz w:val="24"/>
          <w:szCs w:val="24"/>
        </w:rPr>
        <w:t>Statistical output</w:t>
      </w:r>
      <w:r w:rsidR="002F6EE7">
        <w:rPr>
          <w:rFonts w:asciiTheme="majorBidi" w:eastAsia="Times New Roman" w:hAnsiTheme="majorBidi" w:cstheme="majorBidi"/>
          <w:sz w:val="24"/>
          <w:szCs w:val="24"/>
        </w:rPr>
        <w:t>.</w:t>
      </w:r>
      <w:r w:rsidR="00C425E7" w:rsidRPr="00C425E7">
        <w:rPr>
          <w:rFonts w:asciiTheme="majorBidi" w:eastAsia="Times New Roman" w:hAnsiTheme="majorBidi" w:cstheme="majorBidi"/>
          <w:sz w:val="24"/>
          <w:szCs w:val="24"/>
        </w:rPr>
        <w:t xml:space="preserve"> </w:t>
      </w:r>
      <w:r w:rsidR="002E4D86">
        <w:rPr>
          <w:rFonts w:asciiTheme="majorBidi" w:eastAsia="Times New Roman" w:hAnsiTheme="majorBidi" w:cstheme="majorBidi"/>
          <w:sz w:val="24"/>
          <w:szCs w:val="24"/>
        </w:rPr>
        <w:t xml:space="preserve">Data quality </w:t>
      </w:r>
      <w:r w:rsidR="0023034C">
        <w:rPr>
          <w:rFonts w:asciiTheme="majorBidi" w:eastAsia="Times New Roman" w:hAnsiTheme="majorBidi" w:cstheme="majorBidi"/>
          <w:sz w:val="24"/>
          <w:szCs w:val="24"/>
        </w:rPr>
        <w:t xml:space="preserve">principles </w:t>
      </w:r>
      <w:r w:rsidR="0008096D">
        <w:rPr>
          <w:rFonts w:asciiTheme="majorBidi" w:eastAsia="Times New Roman" w:hAnsiTheme="majorBidi" w:cstheme="majorBidi"/>
          <w:sz w:val="24"/>
          <w:szCs w:val="24"/>
        </w:rPr>
        <w:t xml:space="preserve">for </w:t>
      </w:r>
      <w:r w:rsidR="00960DB3">
        <w:rPr>
          <w:rFonts w:asciiTheme="majorBidi" w:eastAsia="Times New Roman" w:hAnsiTheme="majorBidi" w:cstheme="majorBidi"/>
          <w:sz w:val="24"/>
          <w:szCs w:val="24"/>
        </w:rPr>
        <w:t>e</w:t>
      </w:r>
      <w:r w:rsidR="002F6EE7">
        <w:rPr>
          <w:rFonts w:asciiTheme="majorBidi" w:eastAsia="Times New Roman" w:hAnsiTheme="majorBidi" w:cstheme="majorBidi"/>
          <w:sz w:val="24"/>
          <w:szCs w:val="24"/>
        </w:rPr>
        <w:t xml:space="preserve">ach of these </w:t>
      </w:r>
      <w:r w:rsidR="0008096D">
        <w:rPr>
          <w:rFonts w:asciiTheme="majorBidi" w:eastAsia="Times New Roman" w:hAnsiTheme="majorBidi" w:cstheme="majorBidi"/>
          <w:sz w:val="24"/>
          <w:szCs w:val="24"/>
        </w:rPr>
        <w:t>stages</w:t>
      </w:r>
      <w:r w:rsidR="002F6EE7">
        <w:rPr>
          <w:rFonts w:asciiTheme="majorBidi" w:eastAsia="Times New Roman" w:hAnsiTheme="majorBidi" w:cstheme="majorBidi"/>
          <w:sz w:val="24"/>
          <w:szCs w:val="24"/>
        </w:rPr>
        <w:t xml:space="preserve"> </w:t>
      </w:r>
      <w:r w:rsidR="0008096D">
        <w:rPr>
          <w:rFonts w:asciiTheme="majorBidi" w:eastAsia="Times New Roman" w:hAnsiTheme="majorBidi" w:cstheme="majorBidi"/>
          <w:sz w:val="24"/>
          <w:szCs w:val="24"/>
        </w:rPr>
        <w:t>contains</w:t>
      </w:r>
      <w:r w:rsidR="002E4D86">
        <w:rPr>
          <w:rFonts w:asciiTheme="majorBidi" w:eastAsia="Times New Roman" w:hAnsiTheme="majorBidi" w:cstheme="majorBidi"/>
          <w:sz w:val="24"/>
          <w:szCs w:val="24"/>
        </w:rPr>
        <w:t xml:space="preserve"> various</w:t>
      </w:r>
      <w:r w:rsidR="0008096D">
        <w:rPr>
          <w:rFonts w:asciiTheme="majorBidi" w:eastAsia="Times New Roman" w:hAnsiTheme="majorBidi" w:cstheme="majorBidi"/>
          <w:sz w:val="24"/>
          <w:szCs w:val="24"/>
        </w:rPr>
        <w:t xml:space="preserve"> d</w:t>
      </w:r>
      <w:r w:rsidRPr="00E85BBA">
        <w:rPr>
          <w:rFonts w:asciiTheme="majorBidi" w:eastAsia="Times New Roman" w:hAnsiTheme="majorBidi" w:cstheme="majorBidi"/>
          <w:sz w:val="24"/>
          <w:szCs w:val="24"/>
        </w:rPr>
        <w:t xml:space="preserve">imensions </w:t>
      </w:r>
      <w:r w:rsidR="002F6EE7">
        <w:rPr>
          <w:rFonts w:asciiTheme="majorBidi" w:eastAsia="Times New Roman" w:hAnsiTheme="majorBidi" w:cstheme="majorBidi"/>
          <w:sz w:val="24"/>
          <w:szCs w:val="24"/>
        </w:rPr>
        <w:t xml:space="preserve">and </w:t>
      </w:r>
      <w:r w:rsidR="003D68F8">
        <w:rPr>
          <w:rFonts w:asciiTheme="majorBidi" w:eastAsia="Times New Roman" w:hAnsiTheme="majorBidi" w:cstheme="majorBidi"/>
          <w:sz w:val="24"/>
          <w:szCs w:val="24"/>
        </w:rPr>
        <w:t>associated</w:t>
      </w:r>
      <w:r w:rsidR="002F6EE7">
        <w:rPr>
          <w:rFonts w:asciiTheme="majorBidi" w:eastAsia="Times New Roman" w:hAnsiTheme="majorBidi" w:cstheme="majorBidi"/>
          <w:sz w:val="24"/>
          <w:szCs w:val="24"/>
        </w:rPr>
        <w:t xml:space="preserve"> indicators </w:t>
      </w:r>
      <w:r w:rsidR="0008096D">
        <w:rPr>
          <w:rFonts w:asciiTheme="majorBidi" w:eastAsia="Times New Roman" w:hAnsiTheme="majorBidi" w:cstheme="majorBidi"/>
          <w:sz w:val="24"/>
          <w:szCs w:val="24"/>
        </w:rPr>
        <w:t xml:space="preserve">that must be undertaken in </w:t>
      </w:r>
      <w:r w:rsidR="002F6EE7">
        <w:rPr>
          <w:rFonts w:asciiTheme="majorBidi" w:eastAsia="Times New Roman" w:hAnsiTheme="majorBidi" w:cstheme="majorBidi"/>
          <w:sz w:val="24"/>
          <w:szCs w:val="24"/>
        </w:rPr>
        <w:t>data quality assessment</w:t>
      </w:r>
      <w:r w:rsidR="0008096D">
        <w:rPr>
          <w:rFonts w:asciiTheme="majorBidi" w:eastAsia="Times New Roman" w:hAnsiTheme="majorBidi" w:cstheme="majorBidi"/>
          <w:sz w:val="24"/>
          <w:szCs w:val="24"/>
        </w:rPr>
        <w:t xml:space="preserve"> of any survey.</w:t>
      </w:r>
      <w:r w:rsidR="002F6EE7">
        <w:rPr>
          <w:rFonts w:asciiTheme="majorBidi" w:eastAsia="Times New Roman" w:hAnsiTheme="majorBidi" w:cstheme="majorBidi"/>
          <w:sz w:val="24"/>
          <w:szCs w:val="24"/>
        </w:rPr>
        <w:t xml:space="preserve">  </w:t>
      </w:r>
      <w:r w:rsidR="002E4D86">
        <w:rPr>
          <w:rFonts w:asciiTheme="majorBidi" w:eastAsia="Times New Roman" w:hAnsiTheme="majorBidi" w:cstheme="majorBidi"/>
          <w:sz w:val="24"/>
          <w:szCs w:val="24"/>
        </w:rPr>
        <w:t>The principles of</w:t>
      </w:r>
      <w:r w:rsidR="0008096D" w:rsidRPr="0008096D">
        <w:rPr>
          <w:rFonts w:asciiTheme="majorBidi" w:eastAsia="Times New Roman" w:hAnsiTheme="majorBidi" w:cstheme="majorBidi"/>
          <w:sz w:val="24"/>
          <w:szCs w:val="24"/>
        </w:rPr>
        <w:t xml:space="preserve"> </w:t>
      </w:r>
      <w:r w:rsidR="0008096D">
        <w:rPr>
          <w:rFonts w:asciiTheme="majorBidi" w:eastAsia="Times New Roman" w:hAnsiTheme="majorBidi" w:cstheme="majorBidi"/>
          <w:sz w:val="24"/>
          <w:szCs w:val="24"/>
        </w:rPr>
        <w:t>statistical output are:</w:t>
      </w:r>
      <w:r w:rsidRPr="00E85BBA">
        <w:rPr>
          <w:rFonts w:asciiTheme="majorBidi" w:eastAsia="Times New Roman" w:hAnsiTheme="majorBidi" w:cstheme="majorBidi"/>
          <w:sz w:val="24"/>
          <w:szCs w:val="24"/>
        </w:rPr>
        <w:t xml:space="preserve"> Relevance, Accuracy</w:t>
      </w:r>
      <w:r w:rsidR="002E4D86">
        <w:rPr>
          <w:rFonts w:asciiTheme="majorBidi" w:eastAsia="Times New Roman" w:hAnsiTheme="majorBidi" w:cstheme="majorBidi"/>
          <w:sz w:val="24"/>
          <w:szCs w:val="24"/>
        </w:rPr>
        <w:t xml:space="preserve"> and</w:t>
      </w:r>
      <w:r w:rsidR="0008096D">
        <w:rPr>
          <w:rFonts w:asciiTheme="majorBidi" w:eastAsia="Times New Roman" w:hAnsiTheme="majorBidi" w:cstheme="majorBidi"/>
          <w:sz w:val="24"/>
          <w:szCs w:val="24"/>
        </w:rPr>
        <w:t xml:space="preserve"> </w:t>
      </w:r>
      <w:r w:rsidR="00BE58F4">
        <w:rPr>
          <w:rFonts w:asciiTheme="majorBidi" w:eastAsia="Times New Roman" w:hAnsiTheme="majorBidi" w:cstheme="majorBidi"/>
          <w:sz w:val="24"/>
          <w:szCs w:val="24"/>
        </w:rPr>
        <w:t>Reliability</w:t>
      </w:r>
      <w:r w:rsidR="005E1925">
        <w:rPr>
          <w:rFonts w:asciiTheme="majorBidi" w:eastAsia="Times New Roman" w:hAnsiTheme="majorBidi" w:cstheme="majorBidi"/>
          <w:sz w:val="24"/>
          <w:szCs w:val="24"/>
        </w:rPr>
        <w:t xml:space="preserve">, </w:t>
      </w:r>
      <w:r w:rsidR="0023034C">
        <w:rPr>
          <w:rFonts w:asciiTheme="majorBidi" w:eastAsia="Times New Roman" w:hAnsiTheme="majorBidi" w:cstheme="majorBidi"/>
          <w:sz w:val="24"/>
          <w:szCs w:val="24"/>
        </w:rPr>
        <w:t>Timel</w:t>
      </w:r>
      <w:r w:rsidR="002E4D86">
        <w:rPr>
          <w:rFonts w:asciiTheme="majorBidi" w:eastAsia="Times New Roman" w:hAnsiTheme="majorBidi" w:cstheme="majorBidi"/>
          <w:sz w:val="24"/>
          <w:szCs w:val="24"/>
        </w:rPr>
        <w:t>in</w:t>
      </w:r>
      <w:r w:rsidR="0023034C">
        <w:rPr>
          <w:rFonts w:asciiTheme="majorBidi" w:eastAsia="Times New Roman" w:hAnsiTheme="majorBidi" w:cstheme="majorBidi"/>
          <w:sz w:val="24"/>
          <w:szCs w:val="24"/>
        </w:rPr>
        <w:t xml:space="preserve">ess and punctuality, </w:t>
      </w:r>
      <w:r w:rsidR="002E4D86" w:rsidRPr="00E85BBA">
        <w:rPr>
          <w:rFonts w:asciiTheme="majorBidi" w:eastAsia="Times New Roman" w:hAnsiTheme="majorBidi" w:cstheme="majorBidi"/>
          <w:sz w:val="24"/>
          <w:szCs w:val="24"/>
        </w:rPr>
        <w:t>Coherence</w:t>
      </w:r>
      <w:r w:rsidR="002E4D86">
        <w:rPr>
          <w:rFonts w:asciiTheme="majorBidi" w:eastAsia="Times New Roman" w:hAnsiTheme="majorBidi" w:cstheme="majorBidi"/>
          <w:sz w:val="24"/>
          <w:szCs w:val="24"/>
        </w:rPr>
        <w:t xml:space="preserve"> </w:t>
      </w:r>
      <w:r w:rsidR="002E4D86" w:rsidRPr="00E85BBA">
        <w:rPr>
          <w:rFonts w:asciiTheme="majorBidi" w:eastAsia="Times New Roman" w:hAnsiTheme="majorBidi" w:cstheme="majorBidi"/>
          <w:sz w:val="24"/>
          <w:szCs w:val="24"/>
        </w:rPr>
        <w:t>and Comparability</w:t>
      </w:r>
      <w:r w:rsidR="002E4D86">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Accessibility</w:t>
      </w:r>
      <w:r w:rsidR="002E4D86">
        <w:rPr>
          <w:rFonts w:asciiTheme="majorBidi" w:eastAsia="Times New Roman" w:hAnsiTheme="majorBidi" w:cstheme="majorBidi"/>
          <w:sz w:val="24"/>
          <w:szCs w:val="24"/>
        </w:rPr>
        <w:t xml:space="preserve"> </w:t>
      </w:r>
      <w:r w:rsidR="002E4D86">
        <w:rPr>
          <w:rFonts w:asciiTheme="majorBidi" w:eastAsia="Times New Roman" w:hAnsiTheme="majorBidi" w:cstheme="majorBidi"/>
          <w:sz w:val="24"/>
          <w:szCs w:val="24"/>
        </w:rPr>
        <w:lastRenderedPageBreak/>
        <w:t>and</w:t>
      </w:r>
      <w:r w:rsidRPr="00E85BBA">
        <w:rPr>
          <w:rFonts w:asciiTheme="majorBidi" w:eastAsia="Times New Roman" w:hAnsiTheme="majorBidi" w:cstheme="majorBidi"/>
          <w:sz w:val="24"/>
          <w:szCs w:val="24"/>
        </w:rPr>
        <w:t xml:space="preserve"> </w:t>
      </w:r>
      <w:r w:rsidR="002E4D86">
        <w:rPr>
          <w:rFonts w:asciiTheme="majorBidi" w:eastAsia="Times New Roman" w:hAnsiTheme="majorBidi" w:cstheme="majorBidi"/>
          <w:sz w:val="24"/>
          <w:szCs w:val="24"/>
        </w:rPr>
        <w:t>Clarity</w:t>
      </w:r>
      <w:r w:rsidR="005E1925">
        <w:rPr>
          <w:rFonts w:asciiTheme="majorBidi" w:eastAsia="Times New Roman" w:hAnsiTheme="majorBidi" w:cstheme="majorBidi"/>
          <w:sz w:val="24"/>
          <w:szCs w:val="24"/>
        </w:rPr>
        <w:t xml:space="preserve"> </w:t>
      </w:r>
      <w:r w:rsidR="00EC103F">
        <w:rPr>
          <w:rFonts w:asciiTheme="majorBidi" w:eastAsia="Times New Roman" w:hAnsiTheme="majorBidi" w:cstheme="majorBidi"/>
          <w:sz w:val="24"/>
          <w:szCs w:val="24"/>
        </w:rPr>
        <w:t xml:space="preserve">based on the European Statistics Code of Practice </w:t>
      </w:r>
      <w:r w:rsidR="00EC103F" w:rsidRPr="002E4D86">
        <w:rPr>
          <w:rFonts w:asciiTheme="majorBidi" w:eastAsia="Times New Roman" w:hAnsiTheme="majorBidi" w:cstheme="majorBidi"/>
          <w:sz w:val="24"/>
          <w:szCs w:val="24"/>
        </w:rPr>
        <w:t xml:space="preserve">(ES </w:t>
      </w:r>
      <w:proofErr w:type="spellStart"/>
      <w:r w:rsidR="00EC103F" w:rsidRPr="002E4D86">
        <w:rPr>
          <w:rFonts w:asciiTheme="majorBidi" w:eastAsia="Times New Roman" w:hAnsiTheme="majorBidi" w:cstheme="majorBidi"/>
          <w:sz w:val="24"/>
          <w:szCs w:val="24"/>
        </w:rPr>
        <w:t>CoP</w:t>
      </w:r>
      <w:proofErr w:type="spellEnd"/>
      <w:r w:rsidR="00EC103F" w:rsidRPr="002E4D86">
        <w:rPr>
          <w:rFonts w:asciiTheme="majorBidi" w:eastAsia="Times New Roman" w:hAnsiTheme="majorBidi" w:cstheme="majorBidi"/>
          <w:sz w:val="24"/>
          <w:szCs w:val="24"/>
        </w:rPr>
        <w:t>)</w:t>
      </w:r>
      <w:r w:rsidR="00EC103F">
        <w:rPr>
          <w:rStyle w:val="FootnoteReference"/>
          <w:rFonts w:asciiTheme="majorBidi" w:eastAsia="Times New Roman" w:hAnsiTheme="majorBidi" w:cstheme="majorBidi"/>
          <w:sz w:val="24"/>
          <w:szCs w:val="24"/>
        </w:rPr>
        <w:footnoteReference w:id="5"/>
      </w:r>
      <w:r w:rsidR="00F922CF" w:rsidRPr="00E85BBA">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One of the quality dimension</w:t>
      </w:r>
      <w:r w:rsidR="008D7362" w:rsidRPr="00E85BBA">
        <w:rPr>
          <w:rFonts w:asciiTheme="majorBidi" w:eastAsia="Times New Roman" w:hAnsiTheme="majorBidi" w:cstheme="majorBidi"/>
          <w:sz w:val="24"/>
          <w:szCs w:val="24"/>
        </w:rPr>
        <w:t>s</w:t>
      </w:r>
      <w:r w:rsidRPr="00E85BBA">
        <w:rPr>
          <w:rFonts w:asciiTheme="majorBidi" w:eastAsia="Times New Roman" w:hAnsiTheme="majorBidi" w:cstheme="majorBidi"/>
          <w:sz w:val="24"/>
          <w:szCs w:val="24"/>
        </w:rPr>
        <w:t xml:space="preserve"> this paper focuses on is “Accuracy”</w:t>
      </w:r>
      <w:r w:rsidR="005E1925">
        <w:rPr>
          <w:rFonts w:asciiTheme="majorBidi" w:eastAsia="Times New Roman" w:hAnsiTheme="majorBidi" w:cstheme="majorBidi"/>
          <w:sz w:val="24"/>
          <w:szCs w:val="24"/>
        </w:rPr>
        <w:t xml:space="preserve"> and </w:t>
      </w:r>
      <w:r w:rsidR="00EC103F">
        <w:rPr>
          <w:rFonts w:asciiTheme="majorBidi" w:eastAsia="Times New Roman" w:hAnsiTheme="majorBidi" w:cstheme="majorBidi"/>
          <w:sz w:val="24"/>
          <w:szCs w:val="24"/>
        </w:rPr>
        <w:t>the</w:t>
      </w:r>
      <w:r w:rsidR="005E1925">
        <w:rPr>
          <w:rFonts w:asciiTheme="majorBidi" w:eastAsia="Times New Roman" w:hAnsiTheme="majorBidi" w:cstheme="majorBidi"/>
          <w:sz w:val="24"/>
          <w:szCs w:val="24"/>
        </w:rPr>
        <w:t xml:space="preserve"> associated indicators</w:t>
      </w:r>
      <w:r w:rsidR="00072776">
        <w:rPr>
          <w:rFonts w:asciiTheme="majorBidi" w:eastAsia="Times New Roman" w:hAnsiTheme="majorBidi" w:cstheme="majorBidi"/>
          <w:sz w:val="24"/>
          <w:szCs w:val="24"/>
        </w:rPr>
        <w:t xml:space="preserve"> for this </w:t>
      </w:r>
      <w:r w:rsidR="00756564">
        <w:rPr>
          <w:rFonts w:asciiTheme="majorBidi" w:eastAsia="Times New Roman" w:hAnsiTheme="majorBidi" w:cstheme="majorBidi"/>
          <w:sz w:val="24"/>
          <w:szCs w:val="24"/>
        </w:rPr>
        <w:t>dimension are</w:t>
      </w:r>
      <w:r w:rsidR="00EC103F">
        <w:rPr>
          <w:rFonts w:asciiTheme="majorBidi" w:eastAsia="Times New Roman" w:hAnsiTheme="majorBidi" w:cstheme="majorBidi"/>
          <w:sz w:val="24"/>
          <w:szCs w:val="24"/>
        </w:rPr>
        <w:t>:</w:t>
      </w:r>
      <w:r w:rsidR="005E1925">
        <w:rPr>
          <w:rFonts w:asciiTheme="majorBidi" w:eastAsia="Times New Roman" w:hAnsiTheme="majorBidi" w:cstheme="majorBidi"/>
          <w:sz w:val="24"/>
          <w:szCs w:val="24"/>
        </w:rPr>
        <w:t xml:space="preserve"> </w:t>
      </w:r>
      <w:r w:rsidR="005E1925" w:rsidRPr="005E1925">
        <w:rPr>
          <w:rFonts w:asciiTheme="majorBidi" w:eastAsia="Times New Roman" w:hAnsiTheme="majorBidi" w:cstheme="majorBidi"/>
          <w:sz w:val="24"/>
          <w:szCs w:val="24"/>
        </w:rPr>
        <w:t>coverage</w:t>
      </w:r>
      <w:r w:rsidR="005E1925">
        <w:rPr>
          <w:rFonts w:asciiTheme="majorBidi" w:eastAsia="Times New Roman" w:hAnsiTheme="majorBidi" w:cstheme="majorBidi"/>
          <w:sz w:val="24"/>
          <w:szCs w:val="24"/>
        </w:rPr>
        <w:t xml:space="preserve"> </w:t>
      </w:r>
      <w:r w:rsidR="005E1925" w:rsidRPr="005E1925">
        <w:rPr>
          <w:rFonts w:asciiTheme="majorBidi" w:eastAsia="Times New Roman" w:hAnsiTheme="majorBidi" w:cstheme="majorBidi"/>
          <w:sz w:val="24"/>
          <w:szCs w:val="24"/>
        </w:rPr>
        <w:t>error, measurement</w:t>
      </w:r>
      <w:r w:rsidR="005E1925">
        <w:rPr>
          <w:rFonts w:asciiTheme="majorBidi" w:eastAsia="Times New Roman" w:hAnsiTheme="majorBidi" w:cstheme="majorBidi"/>
          <w:sz w:val="24"/>
          <w:szCs w:val="24"/>
        </w:rPr>
        <w:t xml:space="preserve"> </w:t>
      </w:r>
      <w:r w:rsidR="005E1925" w:rsidRPr="005E1925">
        <w:rPr>
          <w:rFonts w:asciiTheme="majorBidi" w:eastAsia="Times New Roman" w:hAnsiTheme="majorBidi" w:cstheme="majorBidi"/>
          <w:sz w:val="24"/>
          <w:szCs w:val="24"/>
        </w:rPr>
        <w:t>error, non-response</w:t>
      </w:r>
      <w:r w:rsidR="005E1925">
        <w:rPr>
          <w:rFonts w:asciiTheme="majorBidi" w:eastAsia="Times New Roman" w:hAnsiTheme="majorBidi" w:cstheme="majorBidi"/>
          <w:sz w:val="24"/>
          <w:szCs w:val="24"/>
        </w:rPr>
        <w:t xml:space="preserve"> </w:t>
      </w:r>
      <w:r w:rsidR="005E1925" w:rsidRPr="005E1925">
        <w:rPr>
          <w:rFonts w:asciiTheme="majorBidi" w:eastAsia="Times New Roman" w:hAnsiTheme="majorBidi" w:cstheme="majorBidi"/>
          <w:sz w:val="24"/>
          <w:szCs w:val="24"/>
        </w:rPr>
        <w:t>error, sampling error</w:t>
      </w:r>
      <w:r w:rsidR="005E1925">
        <w:rPr>
          <w:rFonts w:asciiTheme="majorBidi" w:eastAsia="Times New Roman" w:hAnsiTheme="majorBidi" w:cstheme="majorBidi"/>
          <w:sz w:val="24"/>
          <w:szCs w:val="24"/>
        </w:rPr>
        <w:t xml:space="preserve"> </w:t>
      </w:r>
      <w:r w:rsidR="005E1925" w:rsidRPr="005E1925">
        <w:rPr>
          <w:rFonts w:asciiTheme="majorBidi" w:eastAsia="Times New Roman" w:hAnsiTheme="majorBidi" w:cstheme="majorBidi"/>
          <w:sz w:val="24"/>
          <w:szCs w:val="24"/>
        </w:rPr>
        <w:t>(CV, Variance, SE)</w:t>
      </w:r>
      <w:r w:rsidR="00EC103F">
        <w:rPr>
          <w:rFonts w:asciiTheme="majorBidi" w:eastAsia="Times New Roman" w:hAnsiTheme="majorBidi" w:cstheme="majorBidi"/>
          <w:sz w:val="24"/>
          <w:szCs w:val="24"/>
        </w:rPr>
        <w:t xml:space="preserve"> </w:t>
      </w:r>
      <w:r w:rsidR="005E1925" w:rsidRPr="005E1925">
        <w:rPr>
          <w:rFonts w:asciiTheme="majorBidi" w:eastAsia="Times New Roman" w:hAnsiTheme="majorBidi" w:cstheme="majorBidi"/>
          <w:sz w:val="24"/>
          <w:szCs w:val="24"/>
        </w:rPr>
        <w:t>of key estimates</w:t>
      </w:r>
      <w:r w:rsidR="00723412">
        <w:rPr>
          <w:rFonts w:asciiTheme="majorBidi" w:eastAsia="Times New Roman" w:hAnsiTheme="majorBidi" w:cstheme="majorBidi"/>
          <w:sz w:val="24"/>
          <w:szCs w:val="24"/>
        </w:rPr>
        <w:t xml:space="preserve"> based on the </w:t>
      </w:r>
      <w:r w:rsidR="00723412" w:rsidRPr="00723412">
        <w:rPr>
          <w:rFonts w:asciiTheme="majorBidi" w:eastAsia="Times New Roman" w:hAnsiTheme="majorBidi" w:cstheme="majorBidi"/>
          <w:sz w:val="24"/>
          <w:szCs w:val="24"/>
        </w:rPr>
        <w:t>National Guidelines for Data Quality in Surveys</w:t>
      </w:r>
      <w:r w:rsidR="00072776">
        <w:rPr>
          <w:rStyle w:val="FootnoteReference"/>
          <w:rFonts w:asciiTheme="majorBidi" w:eastAsia="Times New Roman" w:hAnsiTheme="majorBidi" w:cstheme="majorBidi"/>
          <w:sz w:val="24"/>
          <w:szCs w:val="24"/>
        </w:rPr>
        <w:footnoteReference w:id="6"/>
      </w:r>
      <w:r w:rsidR="00756564">
        <w:rPr>
          <w:rFonts w:asciiTheme="majorBidi" w:eastAsia="Times New Roman" w:hAnsiTheme="majorBidi" w:cstheme="majorBidi"/>
          <w:sz w:val="24"/>
          <w:szCs w:val="24"/>
        </w:rPr>
        <w:t xml:space="preserve"> for both COVID-19 and Labor </w:t>
      </w:r>
      <w:r w:rsidR="00DE71AF">
        <w:rPr>
          <w:rFonts w:asciiTheme="majorBidi" w:eastAsia="Times New Roman" w:hAnsiTheme="majorBidi" w:cstheme="majorBidi"/>
          <w:sz w:val="24"/>
          <w:szCs w:val="24"/>
        </w:rPr>
        <w:t>F</w:t>
      </w:r>
      <w:r w:rsidR="00756564">
        <w:rPr>
          <w:rFonts w:asciiTheme="majorBidi" w:eastAsia="Times New Roman" w:hAnsiTheme="majorBidi" w:cstheme="majorBidi"/>
          <w:sz w:val="24"/>
          <w:szCs w:val="24"/>
        </w:rPr>
        <w:t>orce surveys</w:t>
      </w:r>
      <w:r w:rsidR="00DE71AF">
        <w:rPr>
          <w:rFonts w:asciiTheme="majorBidi" w:eastAsia="Times New Roman" w:hAnsiTheme="majorBidi" w:cstheme="majorBidi"/>
          <w:sz w:val="24"/>
          <w:szCs w:val="24"/>
        </w:rPr>
        <w:t xml:space="preserve"> 2020</w:t>
      </w:r>
      <w:r w:rsidR="00756564">
        <w:rPr>
          <w:rFonts w:asciiTheme="majorBidi" w:eastAsia="Times New Roman" w:hAnsiTheme="majorBidi" w:cstheme="majorBidi"/>
          <w:sz w:val="24"/>
          <w:szCs w:val="24"/>
        </w:rPr>
        <w:t>.</w:t>
      </w:r>
      <w:r w:rsidR="00A3394A">
        <w:rPr>
          <w:rFonts w:asciiTheme="majorBidi" w:eastAsia="Times New Roman" w:hAnsiTheme="majorBidi" w:cstheme="majorBidi" w:hint="cs"/>
          <w:sz w:val="24"/>
          <w:szCs w:val="24"/>
          <w:rtl/>
        </w:rPr>
        <w:t xml:space="preserve"> </w:t>
      </w:r>
    </w:p>
    <w:p w14:paraId="4B7762C8" w14:textId="3E155F9C" w:rsidR="00E07AAD" w:rsidRDefault="00E07AAD" w:rsidP="00E07AAD">
      <w:pPr>
        <w:spacing w:after="0" w:line="240" w:lineRule="auto"/>
        <w:jc w:val="both"/>
        <w:rPr>
          <w:rFonts w:asciiTheme="majorBidi" w:eastAsia="Times New Roman" w:hAnsiTheme="majorBidi" w:cstheme="majorBidi"/>
          <w:sz w:val="24"/>
          <w:szCs w:val="24"/>
        </w:rPr>
      </w:pPr>
    </w:p>
    <w:p w14:paraId="5501AC0D" w14:textId="6D42088F" w:rsidR="00E07AAD" w:rsidRDefault="00E07AAD" w:rsidP="005620DE">
      <w:pPr>
        <w:spacing w:after="0" w:line="240" w:lineRule="auto"/>
        <w:jc w:val="both"/>
        <w:rPr>
          <w:rFonts w:asciiTheme="majorBidi" w:eastAsia="Times New Roman" w:hAnsiTheme="majorBidi" w:cstheme="majorBidi"/>
          <w:sz w:val="24"/>
          <w:szCs w:val="24"/>
        </w:rPr>
      </w:pPr>
      <w:r w:rsidRPr="00E07AAD">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Palestinian Central</w:t>
      </w:r>
      <w:r w:rsidRPr="00E07AAD">
        <w:rPr>
          <w:rFonts w:asciiTheme="majorBidi" w:eastAsia="Times New Roman" w:hAnsiTheme="majorBidi" w:cstheme="majorBidi"/>
          <w:sz w:val="24"/>
          <w:szCs w:val="24"/>
        </w:rPr>
        <w:t xml:space="preserve"> Bureau of Statistics </w:t>
      </w:r>
      <w:r w:rsidR="005620DE">
        <w:rPr>
          <w:rFonts w:asciiTheme="majorBidi" w:eastAsia="Times New Roman" w:hAnsiTheme="majorBidi" w:cstheme="majorBidi"/>
          <w:sz w:val="24"/>
          <w:szCs w:val="24"/>
        </w:rPr>
        <w:t xml:space="preserve">(PCBS) </w:t>
      </w:r>
      <w:r w:rsidR="005620DE" w:rsidRPr="005620DE">
        <w:rPr>
          <w:rFonts w:asciiTheme="majorBidi" w:eastAsia="Times New Roman" w:hAnsiTheme="majorBidi" w:cstheme="majorBidi"/>
          <w:sz w:val="24"/>
          <w:szCs w:val="24"/>
        </w:rPr>
        <w:t xml:space="preserve">seeks to apply and use many international tools and standards that aim to assess the quality of </w:t>
      </w:r>
      <w:r w:rsidR="005620DE">
        <w:rPr>
          <w:rFonts w:asciiTheme="majorBidi" w:eastAsia="Times New Roman" w:hAnsiTheme="majorBidi" w:cstheme="majorBidi"/>
          <w:sz w:val="24"/>
          <w:szCs w:val="24"/>
        </w:rPr>
        <w:t xml:space="preserve">the produced </w:t>
      </w:r>
      <w:r w:rsidR="005620DE" w:rsidRPr="005620DE">
        <w:rPr>
          <w:rFonts w:asciiTheme="majorBidi" w:eastAsia="Times New Roman" w:hAnsiTheme="majorBidi" w:cstheme="majorBidi"/>
          <w:sz w:val="24"/>
          <w:szCs w:val="24"/>
        </w:rPr>
        <w:t xml:space="preserve">official statistics to ensure continuous improvement and increase their quality. </w:t>
      </w:r>
      <w:r w:rsidR="005620DE">
        <w:rPr>
          <w:rFonts w:asciiTheme="majorBidi" w:eastAsia="Times New Roman" w:hAnsiTheme="majorBidi" w:cstheme="majorBidi"/>
          <w:sz w:val="24"/>
          <w:szCs w:val="24"/>
        </w:rPr>
        <w:t xml:space="preserve">In this sense, PCBS </w:t>
      </w:r>
      <w:r w:rsidRPr="00E07AAD">
        <w:rPr>
          <w:rFonts w:asciiTheme="majorBidi" w:eastAsia="Times New Roman" w:hAnsiTheme="majorBidi" w:cstheme="majorBidi"/>
          <w:sz w:val="24"/>
          <w:szCs w:val="24"/>
        </w:rPr>
        <w:t xml:space="preserve">regularly submits quality </w:t>
      </w:r>
      <w:r w:rsidR="00030AB7" w:rsidRPr="00E07AAD">
        <w:rPr>
          <w:rFonts w:asciiTheme="majorBidi" w:eastAsia="Times New Roman" w:hAnsiTheme="majorBidi" w:cstheme="majorBidi"/>
          <w:sz w:val="24"/>
          <w:szCs w:val="24"/>
        </w:rPr>
        <w:t>reports</w:t>
      </w:r>
      <w:r w:rsidR="00030AB7">
        <w:rPr>
          <w:rFonts w:asciiTheme="majorBidi" w:eastAsia="Times New Roman" w:hAnsiTheme="majorBidi" w:cstheme="majorBidi"/>
          <w:sz w:val="24"/>
          <w:szCs w:val="24"/>
        </w:rPr>
        <w:t xml:space="preserve">, as a tool of monitoring and examining </w:t>
      </w:r>
      <w:r w:rsidR="00030AB7" w:rsidRPr="00030AB7">
        <w:rPr>
          <w:rFonts w:asciiTheme="majorBidi" w:eastAsia="Times New Roman" w:hAnsiTheme="majorBidi" w:cstheme="majorBidi"/>
          <w:sz w:val="24"/>
          <w:szCs w:val="24"/>
        </w:rPr>
        <w:t>the quality of statistical surveys operations and data</w:t>
      </w:r>
      <w:r w:rsidR="00030AB7">
        <w:rPr>
          <w:rFonts w:asciiTheme="majorBidi" w:eastAsia="Times New Roman" w:hAnsiTheme="majorBidi" w:cstheme="majorBidi"/>
          <w:sz w:val="24"/>
          <w:szCs w:val="24"/>
        </w:rPr>
        <w:t>.</w:t>
      </w:r>
      <w:r w:rsidR="00030AB7" w:rsidRPr="00030AB7">
        <w:rPr>
          <w:rFonts w:asciiTheme="majorBidi" w:eastAsia="Times New Roman" w:hAnsiTheme="majorBidi" w:cstheme="majorBidi"/>
          <w:sz w:val="24"/>
          <w:szCs w:val="24"/>
        </w:rPr>
        <w:t xml:space="preserve"> </w:t>
      </w:r>
      <w:r w:rsidR="00030AB7">
        <w:rPr>
          <w:rFonts w:asciiTheme="majorBidi" w:eastAsia="Times New Roman" w:hAnsiTheme="majorBidi" w:cstheme="majorBidi"/>
          <w:sz w:val="24"/>
          <w:szCs w:val="24"/>
        </w:rPr>
        <w:t>These reports are based on a set of follow-ups</w:t>
      </w:r>
      <w:r w:rsidR="00030AB7" w:rsidRPr="00030AB7">
        <w:rPr>
          <w:rFonts w:asciiTheme="majorBidi" w:eastAsia="Times New Roman" w:hAnsiTheme="majorBidi" w:cstheme="majorBidi"/>
          <w:sz w:val="24"/>
          <w:szCs w:val="24"/>
        </w:rPr>
        <w:t xml:space="preserve"> contained in the </w:t>
      </w:r>
      <w:r w:rsidR="00030AB7" w:rsidRPr="000257B2">
        <w:rPr>
          <w:rFonts w:asciiTheme="majorBidi" w:eastAsia="Times New Roman" w:hAnsiTheme="majorBidi" w:cstheme="majorBidi"/>
          <w:sz w:val="24"/>
          <w:szCs w:val="24"/>
        </w:rPr>
        <w:t xml:space="preserve">Generic Statistical Business Process </w:t>
      </w:r>
      <w:r w:rsidR="00030AB7">
        <w:rPr>
          <w:rFonts w:asciiTheme="majorBidi" w:eastAsia="Times New Roman" w:hAnsiTheme="majorBidi" w:cstheme="majorBidi"/>
          <w:sz w:val="24"/>
          <w:szCs w:val="24"/>
        </w:rPr>
        <w:t>(</w:t>
      </w:r>
      <w:r w:rsidR="00030AB7" w:rsidRPr="00030AB7">
        <w:rPr>
          <w:rFonts w:asciiTheme="majorBidi" w:eastAsia="Times New Roman" w:hAnsiTheme="majorBidi" w:cstheme="majorBidi"/>
          <w:sz w:val="24"/>
          <w:szCs w:val="24"/>
        </w:rPr>
        <w:t>GSBPM</w:t>
      </w:r>
      <w:r w:rsidR="00030AB7">
        <w:rPr>
          <w:rFonts w:asciiTheme="majorBidi" w:eastAsia="Times New Roman" w:hAnsiTheme="majorBidi" w:cstheme="majorBidi"/>
          <w:sz w:val="24"/>
          <w:szCs w:val="24"/>
        </w:rPr>
        <w:t>)</w:t>
      </w:r>
      <w:r w:rsidR="00030AB7" w:rsidRPr="00030AB7">
        <w:rPr>
          <w:rFonts w:asciiTheme="majorBidi" w:eastAsia="Times New Roman" w:hAnsiTheme="majorBidi" w:cstheme="majorBidi"/>
          <w:sz w:val="24"/>
          <w:szCs w:val="24"/>
        </w:rPr>
        <w:t xml:space="preserve"> standard model</w:t>
      </w:r>
      <w:r w:rsidR="00035673">
        <w:rPr>
          <w:rFonts w:asciiTheme="majorBidi" w:eastAsia="Times New Roman" w:hAnsiTheme="majorBidi" w:cstheme="majorBidi"/>
          <w:sz w:val="24"/>
          <w:szCs w:val="24"/>
        </w:rPr>
        <w:t>.</w:t>
      </w:r>
      <w:r w:rsidR="00030AB7">
        <w:rPr>
          <w:rFonts w:asciiTheme="majorBidi" w:eastAsia="Times New Roman" w:hAnsiTheme="majorBidi" w:cstheme="majorBidi"/>
          <w:sz w:val="24"/>
          <w:szCs w:val="24"/>
        </w:rPr>
        <w:t xml:space="preserve"> </w:t>
      </w:r>
      <w:r w:rsidR="00756564">
        <w:rPr>
          <w:rFonts w:asciiTheme="majorBidi" w:eastAsia="Times New Roman" w:hAnsiTheme="majorBidi" w:cstheme="majorBidi"/>
          <w:sz w:val="24"/>
          <w:szCs w:val="24"/>
        </w:rPr>
        <w:t>This model</w:t>
      </w:r>
      <w:r w:rsidR="00035673" w:rsidRPr="00035673">
        <w:rPr>
          <w:rFonts w:asciiTheme="majorBidi" w:eastAsia="Times New Roman" w:hAnsiTheme="majorBidi" w:cstheme="majorBidi"/>
          <w:sz w:val="24"/>
          <w:szCs w:val="24"/>
        </w:rPr>
        <w:t xml:space="preserve"> comprises three levels: the statistical business process; the eight phases of the statistical business process; the sub-processes within each phase.</w:t>
      </w:r>
      <w:r w:rsidR="00756564">
        <w:rPr>
          <w:rFonts w:asciiTheme="majorBidi" w:eastAsia="Times New Roman" w:hAnsiTheme="majorBidi" w:cstheme="majorBidi"/>
          <w:sz w:val="24"/>
          <w:szCs w:val="24"/>
        </w:rPr>
        <w:t xml:space="preserve"> The paper studies the </w:t>
      </w:r>
      <w:r w:rsidR="00DE71AF" w:rsidRPr="00DE71AF">
        <w:rPr>
          <w:rFonts w:asciiTheme="majorBidi" w:eastAsia="Times New Roman" w:hAnsiTheme="majorBidi" w:cstheme="majorBidi"/>
          <w:sz w:val="24"/>
          <w:szCs w:val="24"/>
        </w:rPr>
        <w:t xml:space="preserve">extent to which the indicators measured to assess the quality of </w:t>
      </w:r>
      <w:r w:rsidR="004A5320">
        <w:rPr>
          <w:rFonts w:asciiTheme="majorBidi" w:eastAsia="Times New Roman" w:hAnsiTheme="majorBidi" w:cstheme="majorBidi"/>
          <w:sz w:val="24"/>
          <w:szCs w:val="24"/>
        </w:rPr>
        <w:t xml:space="preserve">Labor Force </w:t>
      </w:r>
      <w:r w:rsidR="00346334">
        <w:rPr>
          <w:rFonts w:asciiTheme="majorBidi" w:eastAsia="Times New Roman" w:hAnsiTheme="majorBidi" w:cstheme="majorBidi"/>
          <w:sz w:val="24"/>
          <w:szCs w:val="24"/>
        </w:rPr>
        <w:t>S</w:t>
      </w:r>
      <w:r w:rsidR="004A5320">
        <w:rPr>
          <w:rFonts w:asciiTheme="majorBidi" w:eastAsia="Times New Roman" w:hAnsiTheme="majorBidi" w:cstheme="majorBidi"/>
          <w:sz w:val="24"/>
          <w:szCs w:val="24"/>
        </w:rPr>
        <w:t xml:space="preserve">urvey of the third quarter of 2020 </w:t>
      </w:r>
      <w:r w:rsidR="00DE71AF" w:rsidRPr="00DE71AF">
        <w:rPr>
          <w:rFonts w:asciiTheme="majorBidi" w:eastAsia="Times New Roman" w:hAnsiTheme="majorBidi" w:cstheme="majorBidi"/>
          <w:sz w:val="24"/>
          <w:szCs w:val="24"/>
        </w:rPr>
        <w:t xml:space="preserve">operations and data </w:t>
      </w:r>
      <w:r w:rsidR="00346334">
        <w:rPr>
          <w:rFonts w:asciiTheme="majorBidi" w:eastAsia="Times New Roman" w:hAnsiTheme="majorBidi" w:cstheme="majorBidi"/>
          <w:sz w:val="24"/>
          <w:szCs w:val="24"/>
        </w:rPr>
        <w:t xml:space="preserve">are </w:t>
      </w:r>
      <w:r w:rsidR="00DE71AF" w:rsidRPr="00DE71AF">
        <w:rPr>
          <w:rFonts w:asciiTheme="majorBidi" w:eastAsia="Times New Roman" w:hAnsiTheme="majorBidi" w:cstheme="majorBidi"/>
          <w:sz w:val="24"/>
          <w:szCs w:val="24"/>
        </w:rPr>
        <w:t>achieved</w:t>
      </w:r>
      <w:r w:rsidR="00B80663">
        <w:rPr>
          <w:rFonts w:asciiTheme="majorBidi" w:eastAsia="Times New Roman" w:hAnsiTheme="majorBidi" w:cstheme="majorBidi"/>
          <w:sz w:val="24"/>
          <w:szCs w:val="24"/>
        </w:rPr>
        <w:t xml:space="preserve">. </w:t>
      </w:r>
      <w:proofErr w:type="gramStart"/>
      <w:r w:rsidR="00B80663">
        <w:rPr>
          <w:rFonts w:asciiTheme="majorBidi" w:eastAsia="Times New Roman" w:hAnsiTheme="majorBidi" w:cstheme="majorBidi"/>
          <w:sz w:val="24"/>
          <w:szCs w:val="24"/>
        </w:rPr>
        <w:t>Also</w:t>
      </w:r>
      <w:proofErr w:type="gramEnd"/>
      <w:r w:rsidR="00B80663">
        <w:rPr>
          <w:rFonts w:asciiTheme="majorBidi" w:eastAsia="Times New Roman" w:hAnsiTheme="majorBidi" w:cstheme="majorBidi"/>
          <w:sz w:val="24"/>
          <w:szCs w:val="24"/>
        </w:rPr>
        <w:t>, it studies the differences between this cycle with</w:t>
      </w:r>
      <w:r w:rsidR="007C05FA">
        <w:rPr>
          <w:rFonts w:asciiTheme="majorBidi" w:eastAsia="Times New Roman" w:hAnsiTheme="majorBidi" w:cstheme="majorBidi"/>
          <w:sz w:val="24"/>
          <w:szCs w:val="24"/>
        </w:rPr>
        <w:t xml:space="preserve"> the previous cycle of 2019 that was conducted using </w:t>
      </w:r>
      <w:r w:rsidR="002743EB" w:rsidRPr="00E85BBA">
        <w:rPr>
          <w:rFonts w:asciiTheme="majorBidi" w:eastAsia="Times New Roman" w:hAnsiTheme="majorBidi" w:cstheme="majorBidi"/>
          <w:sz w:val="24"/>
          <w:szCs w:val="24"/>
        </w:rPr>
        <w:t>Computer-assisted personal interviewing</w:t>
      </w:r>
      <w:r w:rsidR="002743EB">
        <w:rPr>
          <w:rFonts w:asciiTheme="majorBidi" w:eastAsia="Times New Roman" w:hAnsiTheme="majorBidi" w:cstheme="majorBidi"/>
          <w:sz w:val="24"/>
          <w:szCs w:val="24"/>
        </w:rPr>
        <w:t xml:space="preserve"> (</w:t>
      </w:r>
      <w:r w:rsidR="007C05FA">
        <w:rPr>
          <w:rFonts w:asciiTheme="majorBidi" w:eastAsia="Times New Roman" w:hAnsiTheme="majorBidi" w:cstheme="majorBidi"/>
          <w:sz w:val="24"/>
          <w:szCs w:val="24"/>
        </w:rPr>
        <w:t>CAPI</w:t>
      </w:r>
      <w:r w:rsidR="002743EB">
        <w:rPr>
          <w:rFonts w:asciiTheme="majorBidi" w:eastAsia="Times New Roman" w:hAnsiTheme="majorBidi" w:cstheme="majorBidi"/>
          <w:sz w:val="24"/>
          <w:szCs w:val="24"/>
        </w:rPr>
        <w:t>)</w:t>
      </w:r>
      <w:r w:rsidR="007C05FA">
        <w:rPr>
          <w:rFonts w:asciiTheme="majorBidi" w:eastAsia="Times New Roman" w:hAnsiTheme="majorBidi" w:cstheme="majorBidi"/>
          <w:sz w:val="24"/>
          <w:szCs w:val="24"/>
        </w:rPr>
        <w:t xml:space="preserve"> mode of data collection </w:t>
      </w:r>
      <w:r w:rsidR="004A5320">
        <w:rPr>
          <w:rFonts w:asciiTheme="majorBidi" w:eastAsia="Times New Roman" w:hAnsiTheme="majorBidi" w:cstheme="majorBidi"/>
          <w:sz w:val="24"/>
          <w:szCs w:val="24"/>
        </w:rPr>
        <w:t>through the related q</w:t>
      </w:r>
      <w:r w:rsidR="00DE71AF">
        <w:rPr>
          <w:rFonts w:asciiTheme="majorBidi" w:eastAsia="Times New Roman" w:hAnsiTheme="majorBidi" w:cstheme="majorBidi"/>
          <w:sz w:val="24"/>
          <w:szCs w:val="24"/>
        </w:rPr>
        <w:t>uality report</w:t>
      </w:r>
      <w:r w:rsidR="007C05FA">
        <w:rPr>
          <w:rFonts w:asciiTheme="majorBidi" w:eastAsia="Times New Roman" w:hAnsiTheme="majorBidi" w:cstheme="majorBidi"/>
          <w:sz w:val="24"/>
          <w:szCs w:val="24"/>
        </w:rPr>
        <w:t>s</w:t>
      </w:r>
      <w:r w:rsidR="004A5320">
        <w:rPr>
          <w:rFonts w:asciiTheme="majorBidi" w:eastAsia="Times New Roman" w:hAnsiTheme="majorBidi" w:cstheme="majorBidi"/>
          <w:sz w:val="24"/>
          <w:szCs w:val="24"/>
        </w:rPr>
        <w:t>.</w:t>
      </w:r>
    </w:p>
    <w:p w14:paraId="0FED1CB8" w14:textId="16736EBA" w:rsidR="005620DE" w:rsidRDefault="005620DE" w:rsidP="005620DE">
      <w:pPr>
        <w:spacing w:after="0" w:line="240" w:lineRule="auto"/>
        <w:jc w:val="both"/>
        <w:rPr>
          <w:rFonts w:asciiTheme="majorBidi" w:eastAsia="Times New Roman" w:hAnsiTheme="majorBidi" w:cstheme="majorBidi"/>
          <w:sz w:val="24"/>
          <w:szCs w:val="24"/>
        </w:rPr>
      </w:pPr>
    </w:p>
    <w:p w14:paraId="656B8BAB" w14:textId="498DD6AF" w:rsidR="005620DE" w:rsidRDefault="005620DE" w:rsidP="003449B4">
      <w:pPr>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Since 2009, PCBS is very keen to apply </w:t>
      </w:r>
      <w:r w:rsidRPr="005620DE">
        <w:rPr>
          <w:rFonts w:asciiTheme="majorBidi" w:eastAsia="Times New Roman" w:hAnsiTheme="majorBidi" w:cstheme="majorBidi"/>
          <w:sz w:val="24"/>
          <w:szCs w:val="24"/>
        </w:rPr>
        <w:t>The Development of a Self Assessment Program</w:t>
      </w:r>
      <w:r>
        <w:rPr>
          <w:rFonts w:asciiTheme="majorBidi" w:eastAsia="Times New Roman" w:hAnsiTheme="majorBidi" w:cstheme="majorBidi"/>
          <w:sz w:val="24"/>
          <w:szCs w:val="24"/>
        </w:rPr>
        <w:t xml:space="preserve"> (</w:t>
      </w:r>
      <w:r w:rsidRPr="005620DE">
        <w:rPr>
          <w:rFonts w:asciiTheme="majorBidi" w:eastAsia="Times New Roman" w:hAnsiTheme="majorBidi" w:cstheme="majorBidi"/>
          <w:sz w:val="24"/>
          <w:szCs w:val="24"/>
        </w:rPr>
        <w:t>DESAP</w:t>
      </w:r>
      <w:r>
        <w:rPr>
          <w:rFonts w:asciiTheme="majorBidi" w:eastAsia="Times New Roman" w:hAnsiTheme="majorBidi" w:cstheme="majorBidi"/>
          <w:sz w:val="24"/>
          <w:szCs w:val="24"/>
        </w:rPr>
        <w:t>) on each implemented survey</w:t>
      </w:r>
      <w:r w:rsidR="00E47E71">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3449B4">
        <w:rPr>
          <w:rFonts w:asciiTheme="majorBidi" w:eastAsia="Times New Roman" w:hAnsiTheme="majorBidi" w:cstheme="majorBidi"/>
          <w:sz w:val="24"/>
          <w:szCs w:val="24"/>
        </w:rPr>
        <w:t>This</w:t>
      </w:r>
      <w:r w:rsidR="00E47E71">
        <w:rPr>
          <w:rFonts w:asciiTheme="majorBidi" w:eastAsia="Times New Roman" w:hAnsiTheme="majorBidi" w:cstheme="majorBidi"/>
          <w:sz w:val="24"/>
          <w:szCs w:val="24"/>
        </w:rPr>
        <w:t xml:space="preserve"> program</w:t>
      </w:r>
      <w:r w:rsidRPr="005620DE">
        <w:rPr>
          <w:rFonts w:asciiTheme="majorBidi" w:eastAsia="Times New Roman" w:hAnsiTheme="majorBidi" w:cstheme="majorBidi"/>
          <w:sz w:val="24"/>
          <w:szCs w:val="24"/>
        </w:rPr>
        <w:t xml:space="preserve"> </w:t>
      </w:r>
      <w:r w:rsidR="00E47E71">
        <w:rPr>
          <w:rFonts w:asciiTheme="majorBidi" w:eastAsia="Times New Roman" w:hAnsiTheme="majorBidi" w:cstheme="majorBidi"/>
          <w:sz w:val="24"/>
          <w:szCs w:val="24"/>
        </w:rPr>
        <w:t xml:space="preserve">is a </w:t>
      </w:r>
      <w:r w:rsidRPr="005620DE">
        <w:rPr>
          <w:rFonts w:asciiTheme="majorBidi" w:eastAsia="Times New Roman" w:hAnsiTheme="majorBidi" w:cstheme="majorBidi"/>
          <w:sz w:val="24"/>
          <w:szCs w:val="24"/>
        </w:rPr>
        <w:t xml:space="preserve">checklist for regular assessment </w:t>
      </w:r>
      <w:r w:rsidR="00E47E71">
        <w:rPr>
          <w:rFonts w:asciiTheme="majorBidi" w:eastAsia="Times New Roman" w:hAnsiTheme="majorBidi" w:cstheme="majorBidi"/>
          <w:sz w:val="24"/>
          <w:szCs w:val="24"/>
        </w:rPr>
        <w:t xml:space="preserve">data </w:t>
      </w:r>
      <w:r w:rsidRPr="005620DE">
        <w:rPr>
          <w:rFonts w:asciiTheme="majorBidi" w:eastAsia="Times New Roman" w:hAnsiTheme="majorBidi" w:cstheme="majorBidi"/>
          <w:sz w:val="24"/>
          <w:szCs w:val="24"/>
        </w:rPr>
        <w:t>quality of surveys, translated from the European Self-Assessment Checklist for Survey Management. This checklist is designed as a tool for project</w:t>
      </w:r>
      <w:r w:rsidR="00E47E71">
        <w:rPr>
          <w:rFonts w:asciiTheme="majorBidi" w:eastAsia="Times New Roman" w:hAnsiTheme="majorBidi" w:cstheme="majorBidi"/>
          <w:sz w:val="24"/>
          <w:szCs w:val="24"/>
        </w:rPr>
        <w:t>s</w:t>
      </w:r>
      <w:r w:rsidRPr="005620DE">
        <w:rPr>
          <w:rFonts w:asciiTheme="majorBidi" w:eastAsia="Times New Roman" w:hAnsiTheme="majorBidi" w:cstheme="majorBidi"/>
          <w:sz w:val="24"/>
          <w:szCs w:val="24"/>
        </w:rPr>
        <w:t xml:space="preserve"> and survey</w:t>
      </w:r>
      <w:r w:rsidR="00E47E71">
        <w:rPr>
          <w:rFonts w:asciiTheme="majorBidi" w:eastAsia="Times New Roman" w:hAnsiTheme="majorBidi" w:cstheme="majorBidi"/>
          <w:sz w:val="24"/>
          <w:szCs w:val="24"/>
        </w:rPr>
        <w:t>s</w:t>
      </w:r>
      <w:r w:rsidR="00EC2025">
        <w:rPr>
          <w:rFonts w:asciiTheme="majorBidi" w:eastAsia="Times New Roman" w:hAnsiTheme="majorBidi" w:cstheme="majorBidi"/>
          <w:sz w:val="24"/>
          <w:szCs w:val="24"/>
        </w:rPr>
        <w:t xml:space="preserve"> managers to assist them i</w:t>
      </w:r>
      <w:r w:rsidRPr="005620DE">
        <w:rPr>
          <w:rFonts w:asciiTheme="majorBidi" w:eastAsia="Times New Roman" w:hAnsiTheme="majorBidi" w:cstheme="majorBidi"/>
          <w:sz w:val="24"/>
          <w:szCs w:val="24"/>
        </w:rPr>
        <w:t xml:space="preserve">n evaluating the quality of the statistics they produce and </w:t>
      </w:r>
      <w:r w:rsidR="00E47E71">
        <w:rPr>
          <w:rFonts w:asciiTheme="majorBidi" w:eastAsia="Times New Roman" w:hAnsiTheme="majorBidi" w:cstheme="majorBidi"/>
          <w:sz w:val="24"/>
          <w:szCs w:val="24"/>
        </w:rPr>
        <w:t>to consider possible actions to</w:t>
      </w:r>
      <w:r w:rsidRPr="005620DE">
        <w:rPr>
          <w:rFonts w:asciiTheme="majorBidi" w:eastAsia="Times New Roman" w:hAnsiTheme="majorBidi" w:cstheme="majorBidi"/>
          <w:sz w:val="24"/>
          <w:szCs w:val="24"/>
        </w:rPr>
        <w:t xml:space="preserve"> improve and develop these statistics</w:t>
      </w:r>
      <w:r w:rsidR="00E47E71">
        <w:rPr>
          <w:rFonts w:asciiTheme="majorBidi" w:eastAsia="Times New Roman" w:hAnsiTheme="majorBidi" w:cstheme="majorBidi"/>
          <w:sz w:val="24"/>
          <w:szCs w:val="24"/>
        </w:rPr>
        <w:t xml:space="preserve">. </w:t>
      </w:r>
      <w:r w:rsidR="00EC2025">
        <w:rPr>
          <w:rFonts w:asciiTheme="majorBidi" w:eastAsia="Times New Roman" w:hAnsiTheme="majorBidi" w:cstheme="majorBidi"/>
          <w:sz w:val="24"/>
          <w:szCs w:val="24"/>
        </w:rPr>
        <w:t>The paper examine t</w:t>
      </w:r>
      <w:r w:rsidR="00EC2025" w:rsidRPr="00EC2025">
        <w:rPr>
          <w:rFonts w:asciiTheme="majorBidi" w:eastAsia="Times New Roman" w:hAnsiTheme="majorBidi" w:cstheme="majorBidi"/>
          <w:sz w:val="24"/>
          <w:szCs w:val="24"/>
        </w:rPr>
        <w:t>he percentage of commitment to quality indicators at the level of</w:t>
      </w:r>
      <w:r w:rsidR="00EC2025">
        <w:rPr>
          <w:rFonts w:asciiTheme="majorBidi" w:eastAsia="Times New Roman" w:hAnsiTheme="majorBidi" w:cstheme="majorBidi"/>
          <w:sz w:val="24"/>
          <w:szCs w:val="24"/>
        </w:rPr>
        <w:t xml:space="preserve"> both COVID-19 and Labor Force surveys </w:t>
      </w:r>
      <w:r w:rsidR="003449B4">
        <w:rPr>
          <w:rFonts w:asciiTheme="majorBidi" w:eastAsia="Times New Roman" w:hAnsiTheme="majorBidi" w:cstheme="majorBidi"/>
          <w:sz w:val="24"/>
          <w:szCs w:val="24"/>
        </w:rPr>
        <w:t xml:space="preserve">for the year </w:t>
      </w:r>
      <w:r w:rsidR="00EC2025">
        <w:rPr>
          <w:rFonts w:asciiTheme="majorBidi" w:eastAsia="Times New Roman" w:hAnsiTheme="majorBidi" w:cstheme="majorBidi"/>
          <w:sz w:val="24"/>
          <w:szCs w:val="24"/>
        </w:rPr>
        <w:t>2020.</w:t>
      </w:r>
    </w:p>
    <w:p w14:paraId="5FCC73CB" w14:textId="418311D5" w:rsidR="00DB1095" w:rsidRDefault="00DB1095" w:rsidP="00E47E71">
      <w:pPr>
        <w:spacing w:after="0" w:line="240" w:lineRule="auto"/>
        <w:jc w:val="both"/>
        <w:rPr>
          <w:rFonts w:asciiTheme="majorBidi" w:eastAsia="Times New Roman" w:hAnsiTheme="majorBidi" w:cstheme="majorBidi"/>
          <w:sz w:val="24"/>
          <w:szCs w:val="24"/>
          <w:rtl/>
        </w:rPr>
      </w:pPr>
    </w:p>
    <w:p w14:paraId="5C4FDF1C" w14:textId="3C7107E8" w:rsidR="00DB1095" w:rsidRDefault="00DB1095" w:rsidP="00EC2025">
      <w:pPr>
        <w:spacing w:after="0" w:line="240" w:lineRule="auto"/>
        <w:jc w:val="both"/>
        <w:rPr>
          <w:rFonts w:asciiTheme="majorBidi" w:eastAsia="Times New Roman" w:hAnsiTheme="majorBidi" w:cstheme="majorBidi"/>
          <w:sz w:val="24"/>
          <w:szCs w:val="24"/>
        </w:rPr>
      </w:pPr>
      <w:r w:rsidRPr="00DB1095">
        <w:rPr>
          <w:rFonts w:asciiTheme="majorBidi" w:eastAsia="Times New Roman" w:hAnsiTheme="majorBidi" w:cstheme="majorBidi"/>
          <w:sz w:val="24"/>
          <w:szCs w:val="24"/>
        </w:rPr>
        <w:t xml:space="preserve">The paper </w:t>
      </w:r>
      <w:r w:rsidR="00EC2025">
        <w:rPr>
          <w:rFonts w:asciiTheme="majorBidi" w:eastAsia="Times New Roman" w:hAnsiTheme="majorBidi" w:cstheme="majorBidi"/>
          <w:sz w:val="24"/>
          <w:szCs w:val="24"/>
        </w:rPr>
        <w:t>comprises</w:t>
      </w:r>
      <w:r w:rsidRPr="00DB1095">
        <w:rPr>
          <w:rFonts w:asciiTheme="majorBidi" w:eastAsia="Times New Roman" w:hAnsiTheme="majorBidi" w:cstheme="majorBidi"/>
          <w:sz w:val="24"/>
          <w:szCs w:val="24"/>
        </w:rPr>
        <w:t xml:space="preserve"> three main themes</w:t>
      </w:r>
      <w:r>
        <w:rPr>
          <w:rFonts w:asciiTheme="majorBidi" w:eastAsia="Times New Roman" w:hAnsiTheme="majorBidi" w:cstheme="majorBidi"/>
          <w:sz w:val="24"/>
          <w:szCs w:val="24"/>
        </w:rPr>
        <w:t xml:space="preserve"> regarding data quality </w:t>
      </w:r>
      <w:r w:rsidR="00EC2025">
        <w:rPr>
          <w:rFonts w:asciiTheme="majorBidi" w:eastAsia="Times New Roman" w:hAnsiTheme="majorBidi" w:cstheme="majorBidi"/>
          <w:sz w:val="24"/>
          <w:szCs w:val="24"/>
        </w:rPr>
        <w:t>assessment, which</w:t>
      </w:r>
      <w:r>
        <w:rPr>
          <w:rFonts w:asciiTheme="majorBidi" w:eastAsia="Times New Roman" w:hAnsiTheme="majorBidi" w:cstheme="majorBidi"/>
          <w:sz w:val="24"/>
          <w:szCs w:val="24"/>
        </w:rPr>
        <w:t xml:space="preserve"> are: </w:t>
      </w:r>
    </w:p>
    <w:p w14:paraId="5D94042C" w14:textId="2A697890" w:rsidR="00DB1095" w:rsidRDefault="00DB1095" w:rsidP="00730DC0">
      <w:pPr>
        <w:pStyle w:val="ListParagraph"/>
        <w:numPr>
          <w:ilvl w:val="0"/>
          <w:numId w:val="23"/>
        </w:num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Data </w:t>
      </w:r>
      <w:r w:rsidR="00730DC0">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ssessment through </w:t>
      </w:r>
      <w:r w:rsidR="00730DC0">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ccuracy </w:t>
      </w:r>
      <w:r w:rsidR="00730DC0">
        <w:rPr>
          <w:rFonts w:asciiTheme="majorBidi" w:eastAsia="Times New Roman" w:hAnsiTheme="majorBidi" w:cstheme="majorBidi"/>
          <w:sz w:val="24"/>
          <w:szCs w:val="24"/>
        </w:rPr>
        <w:t>d</w:t>
      </w:r>
      <w:r>
        <w:rPr>
          <w:rFonts w:asciiTheme="majorBidi" w:eastAsia="Times New Roman" w:hAnsiTheme="majorBidi" w:cstheme="majorBidi"/>
          <w:sz w:val="24"/>
          <w:szCs w:val="24"/>
        </w:rPr>
        <w:t>imension</w:t>
      </w:r>
      <w:r w:rsidR="00EF36C6">
        <w:rPr>
          <w:rFonts w:asciiTheme="majorBidi" w:eastAsia="Times New Roman" w:hAnsiTheme="majorBidi" w:cstheme="majorBidi"/>
          <w:sz w:val="24"/>
          <w:szCs w:val="24"/>
        </w:rPr>
        <w:t>.</w:t>
      </w:r>
    </w:p>
    <w:p w14:paraId="195E288C" w14:textId="454A1819" w:rsidR="00DB1095" w:rsidRDefault="00DB1095" w:rsidP="00730DC0">
      <w:pPr>
        <w:pStyle w:val="ListParagraph"/>
        <w:numPr>
          <w:ilvl w:val="0"/>
          <w:numId w:val="2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Data </w:t>
      </w:r>
      <w:r w:rsidR="00730DC0">
        <w:rPr>
          <w:rFonts w:asciiTheme="majorBidi" w:eastAsia="Times New Roman" w:hAnsiTheme="majorBidi" w:cstheme="majorBidi"/>
          <w:sz w:val="24"/>
          <w:szCs w:val="24"/>
        </w:rPr>
        <w:t>a</w:t>
      </w:r>
      <w:r>
        <w:rPr>
          <w:rFonts w:asciiTheme="majorBidi" w:eastAsia="Times New Roman" w:hAnsiTheme="majorBidi" w:cstheme="majorBidi"/>
          <w:sz w:val="24"/>
          <w:szCs w:val="24"/>
        </w:rPr>
        <w:t>ssessment through quality reports</w:t>
      </w:r>
      <w:r w:rsidR="00EF36C6">
        <w:rPr>
          <w:rFonts w:asciiTheme="majorBidi" w:eastAsia="Times New Roman" w:hAnsiTheme="majorBidi" w:cstheme="majorBidi"/>
          <w:sz w:val="24"/>
          <w:szCs w:val="24"/>
        </w:rPr>
        <w:t>.</w:t>
      </w:r>
    </w:p>
    <w:p w14:paraId="4DA8282E" w14:textId="6AD731F4" w:rsidR="006A10E7" w:rsidRPr="00730BCD" w:rsidRDefault="00DB1095" w:rsidP="00730DC0">
      <w:pPr>
        <w:pStyle w:val="ListParagraph"/>
        <w:numPr>
          <w:ilvl w:val="0"/>
          <w:numId w:val="2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Data </w:t>
      </w:r>
      <w:r w:rsidR="00730DC0">
        <w:rPr>
          <w:rFonts w:asciiTheme="majorBidi" w:eastAsia="Times New Roman" w:hAnsiTheme="majorBidi" w:cstheme="majorBidi"/>
          <w:sz w:val="24"/>
          <w:szCs w:val="24"/>
        </w:rPr>
        <w:t>a</w:t>
      </w:r>
      <w:r>
        <w:rPr>
          <w:rFonts w:asciiTheme="majorBidi" w:eastAsia="Times New Roman" w:hAnsiTheme="majorBidi" w:cstheme="majorBidi"/>
          <w:sz w:val="24"/>
          <w:szCs w:val="24"/>
        </w:rPr>
        <w:t>ssessment through DESAP</w:t>
      </w:r>
      <w:r w:rsidR="00EF36C6">
        <w:rPr>
          <w:rFonts w:asciiTheme="majorBidi" w:eastAsia="Times New Roman" w:hAnsiTheme="majorBidi" w:cstheme="majorBidi"/>
          <w:sz w:val="24"/>
          <w:szCs w:val="24"/>
        </w:rPr>
        <w:t>.</w:t>
      </w:r>
      <w:r>
        <w:rPr>
          <w:rFonts w:asciiTheme="majorBidi" w:eastAsia="Times New Roman" w:hAnsiTheme="majorBidi" w:cstheme="majorBidi"/>
          <w:sz w:val="24"/>
          <w:szCs w:val="24"/>
        </w:rPr>
        <w:br/>
      </w:r>
    </w:p>
    <w:p w14:paraId="6B0206D8" w14:textId="054BEBF2" w:rsidR="00173964" w:rsidRPr="002005CC" w:rsidRDefault="00F84A32" w:rsidP="002005CC">
      <w:pPr>
        <w:pStyle w:val="ListParagraph"/>
        <w:numPr>
          <w:ilvl w:val="1"/>
          <w:numId w:val="1"/>
        </w:numPr>
        <w:tabs>
          <w:tab w:val="left" w:pos="426"/>
        </w:tabs>
        <w:spacing w:after="0" w:line="360" w:lineRule="auto"/>
        <w:ind w:hanging="630"/>
        <w:jc w:val="both"/>
        <w:rPr>
          <w:rFonts w:asciiTheme="majorBidi" w:eastAsia="Times New Roman" w:hAnsiTheme="majorBidi" w:cstheme="majorBidi"/>
          <w:b/>
          <w:bCs/>
          <w:sz w:val="24"/>
          <w:szCs w:val="24"/>
        </w:rPr>
      </w:pPr>
      <w:r w:rsidRPr="00E85BBA">
        <w:rPr>
          <w:rFonts w:asciiTheme="majorBidi" w:eastAsia="Times New Roman" w:hAnsiTheme="majorBidi" w:cstheme="majorBidi"/>
          <w:b/>
          <w:bCs/>
          <w:sz w:val="24"/>
          <w:szCs w:val="24"/>
        </w:rPr>
        <w:t>Data Assessment</w:t>
      </w:r>
      <w:r w:rsidR="001C1510">
        <w:rPr>
          <w:rFonts w:asciiTheme="majorBidi" w:eastAsia="Times New Roman" w:hAnsiTheme="majorBidi" w:cstheme="majorBidi"/>
          <w:b/>
          <w:bCs/>
          <w:sz w:val="24"/>
          <w:szCs w:val="24"/>
        </w:rPr>
        <w:t xml:space="preserve"> </w:t>
      </w:r>
      <w:r w:rsidR="00D752BC" w:rsidRPr="00D752BC">
        <w:rPr>
          <w:rFonts w:asciiTheme="majorBidi" w:eastAsia="Times New Roman" w:hAnsiTheme="majorBidi" w:cstheme="majorBidi"/>
          <w:b/>
          <w:bCs/>
          <w:sz w:val="24"/>
          <w:szCs w:val="24"/>
        </w:rPr>
        <w:t>through Accuracy Dimension</w:t>
      </w:r>
      <w:r w:rsidR="003F7155" w:rsidRPr="003F7155">
        <w:rPr>
          <w:rFonts w:asciiTheme="majorBidi" w:eastAsia="Times New Roman" w:hAnsiTheme="majorBidi" w:cstheme="majorBidi"/>
          <w:sz w:val="24"/>
          <w:szCs w:val="24"/>
        </w:rPr>
        <w:t xml:space="preserve"> </w:t>
      </w:r>
    </w:p>
    <w:p w14:paraId="01F28511" w14:textId="6855BC23" w:rsidR="00CC48C5" w:rsidRPr="0034327A" w:rsidRDefault="00CC48C5" w:rsidP="00730DC0">
      <w:pPr>
        <w:pStyle w:val="ListParagraph"/>
        <w:numPr>
          <w:ilvl w:val="2"/>
          <w:numId w:val="1"/>
        </w:numPr>
        <w:tabs>
          <w:tab w:val="left" w:pos="426"/>
        </w:tabs>
        <w:spacing w:after="0" w:line="360" w:lineRule="auto"/>
        <w:ind w:left="567" w:hanging="567"/>
        <w:jc w:val="both"/>
        <w:rPr>
          <w:rFonts w:asciiTheme="majorBidi" w:eastAsia="Times New Roman" w:hAnsiTheme="majorBidi" w:cstheme="majorBidi"/>
          <w:b/>
          <w:bCs/>
          <w:sz w:val="24"/>
          <w:szCs w:val="24"/>
        </w:rPr>
      </w:pPr>
      <w:r w:rsidRPr="0034327A">
        <w:rPr>
          <w:rFonts w:asciiTheme="majorBidi" w:eastAsia="Times New Roman" w:hAnsiTheme="majorBidi" w:cstheme="majorBidi"/>
          <w:b/>
          <w:bCs/>
          <w:sz w:val="24"/>
          <w:szCs w:val="24"/>
        </w:rPr>
        <w:t xml:space="preserve">Data </w:t>
      </w:r>
      <w:r w:rsidR="00B5532D" w:rsidRPr="0034327A">
        <w:rPr>
          <w:rFonts w:asciiTheme="majorBidi" w:eastAsia="Times New Roman" w:hAnsiTheme="majorBidi" w:cstheme="majorBidi"/>
          <w:b/>
          <w:bCs/>
          <w:sz w:val="24"/>
          <w:szCs w:val="24"/>
        </w:rPr>
        <w:t xml:space="preserve">Quality </w:t>
      </w:r>
      <w:r w:rsidR="00730DC0">
        <w:rPr>
          <w:rFonts w:asciiTheme="majorBidi" w:eastAsia="Times New Roman" w:hAnsiTheme="majorBidi" w:cstheme="majorBidi"/>
          <w:b/>
          <w:bCs/>
          <w:sz w:val="24"/>
          <w:szCs w:val="24"/>
        </w:rPr>
        <w:t>M</w:t>
      </w:r>
      <w:r w:rsidRPr="0034327A">
        <w:rPr>
          <w:rFonts w:asciiTheme="majorBidi" w:eastAsia="Times New Roman" w:hAnsiTheme="majorBidi" w:cstheme="majorBidi"/>
          <w:b/>
          <w:bCs/>
          <w:sz w:val="24"/>
          <w:szCs w:val="24"/>
        </w:rPr>
        <w:t>easurement</w:t>
      </w:r>
    </w:p>
    <w:p w14:paraId="4FE795AC" w14:textId="2F62355D" w:rsidR="008D7362" w:rsidRPr="00E85BBA" w:rsidRDefault="00F922CF" w:rsidP="00316690">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A review </w:t>
      </w:r>
      <w:r w:rsidR="00830179">
        <w:rPr>
          <w:rFonts w:asciiTheme="majorBidi" w:eastAsia="Times New Roman" w:hAnsiTheme="majorBidi" w:cstheme="majorBidi"/>
          <w:sz w:val="24"/>
          <w:szCs w:val="24"/>
        </w:rPr>
        <w:t>accomplished</w:t>
      </w:r>
      <w:r w:rsidR="00316690">
        <w:rPr>
          <w:rFonts w:asciiTheme="majorBidi" w:eastAsia="Times New Roman" w:hAnsiTheme="majorBidi" w:cstheme="majorBidi"/>
          <w:sz w:val="24"/>
          <w:szCs w:val="24"/>
        </w:rPr>
        <w:t xml:space="preserve"> by </w:t>
      </w:r>
      <w:r w:rsidR="00316690" w:rsidRPr="00E85BBA">
        <w:rPr>
          <w:rFonts w:asciiTheme="majorBidi" w:eastAsia="Times New Roman" w:hAnsiTheme="majorBidi" w:cstheme="majorBidi"/>
          <w:sz w:val="24"/>
          <w:szCs w:val="24"/>
        </w:rPr>
        <w:t>Groves</w:t>
      </w:r>
      <w:r w:rsidRPr="00E85BBA">
        <w:rPr>
          <w:rFonts w:asciiTheme="majorBidi" w:eastAsia="Times New Roman" w:hAnsiTheme="majorBidi" w:cstheme="majorBidi"/>
          <w:sz w:val="24"/>
          <w:szCs w:val="24"/>
        </w:rPr>
        <w:t xml:space="preserve"> on</w:t>
      </w:r>
      <w:r w:rsidR="00CB5922">
        <w:rPr>
          <w:rFonts w:asciiTheme="majorBidi" w:eastAsia="Times New Roman" w:hAnsiTheme="majorBidi" w:cstheme="majorBidi"/>
          <w:sz w:val="24"/>
          <w:szCs w:val="24"/>
        </w:rPr>
        <w:t xml:space="preserve"> survey error and data quality </w:t>
      </w:r>
      <w:r w:rsidRPr="00E85BBA">
        <w:rPr>
          <w:rFonts w:asciiTheme="majorBidi" w:eastAsia="Times New Roman" w:hAnsiTheme="majorBidi" w:cstheme="majorBidi"/>
          <w:sz w:val="24"/>
          <w:szCs w:val="24"/>
        </w:rPr>
        <w:t>reveals four identifiable sources of error: coverage, non-response, sampling and measurement or response error</w:t>
      </w:r>
      <w:r w:rsidR="00316690">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400946769"/>
          <w:citation/>
        </w:sdtPr>
        <w:sdtEndPr/>
        <w:sdtContent>
          <w:r w:rsidR="00316690">
            <w:rPr>
              <w:rFonts w:asciiTheme="majorBidi" w:eastAsia="Times New Roman" w:hAnsiTheme="majorBidi" w:cstheme="majorBidi"/>
              <w:sz w:val="24"/>
              <w:szCs w:val="24"/>
            </w:rPr>
            <w:fldChar w:fldCharType="begin"/>
          </w:r>
          <w:r w:rsidR="00316690">
            <w:rPr>
              <w:rFonts w:asciiTheme="majorBidi" w:eastAsia="Times New Roman" w:hAnsiTheme="majorBidi" w:cstheme="majorBidi"/>
              <w:sz w:val="24"/>
              <w:szCs w:val="24"/>
            </w:rPr>
            <w:instrText xml:space="preserve"> CITATION Edi08 \l 1033 </w:instrText>
          </w:r>
          <w:r w:rsidR="00316690">
            <w:rPr>
              <w:rFonts w:asciiTheme="majorBidi" w:eastAsia="Times New Roman" w:hAnsiTheme="majorBidi" w:cstheme="majorBidi"/>
              <w:sz w:val="24"/>
              <w:szCs w:val="24"/>
            </w:rPr>
            <w:fldChar w:fldCharType="separate"/>
          </w:r>
          <w:r w:rsidR="00316690" w:rsidRPr="00CB5922">
            <w:rPr>
              <w:rFonts w:asciiTheme="majorBidi" w:eastAsia="Times New Roman" w:hAnsiTheme="majorBidi" w:cstheme="majorBidi"/>
              <w:noProof/>
              <w:sz w:val="24"/>
              <w:szCs w:val="24"/>
            </w:rPr>
            <w:t>(Leeuw, 2008)</w:t>
          </w:r>
          <w:r w:rsidR="00316690">
            <w:rPr>
              <w:rFonts w:asciiTheme="majorBidi" w:eastAsia="Times New Roman" w:hAnsiTheme="majorBidi" w:cstheme="majorBidi"/>
              <w:sz w:val="24"/>
              <w:szCs w:val="24"/>
            </w:rPr>
            <w:fldChar w:fldCharType="end"/>
          </w:r>
        </w:sdtContent>
      </w:sdt>
      <w:r w:rsidR="002D72D0">
        <w:rPr>
          <w:rFonts w:asciiTheme="majorBidi" w:eastAsia="Times New Roman" w:hAnsiTheme="majorBidi" w:cstheme="majorBidi"/>
          <w:sz w:val="24"/>
          <w:szCs w:val="24"/>
        </w:rPr>
        <w:t>.</w:t>
      </w:r>
    </w:p>
    <w:p w14:paraId="0265BFAE" w14:textId="77777777" w:rsidR="008D7362" w:rsidRPr="00E85BBA" w:rsidRDefault="008D7362" w:rsidP="005A3732">
      <w:pPr>
        <w:spacing w:after="0" w:line="240" w:lineRule="auto"/>
        <w:jc w:val="both"/>
        <w:rPr>
          <w:rFonts w:asciiTheme="majorBidi" w:eastAsia="Times New Roman" w:hAnsiTheme="majorBidi" w:cstheme="majorBidi"/>
          <w:b/>
          <w:bCs/>
          <w:sz w:val="24"/>
          <w:szCs w:val="24"/>
        </w:rPr>
      </w:pPr>
    </w:p>
    <w:p w14:paraId="127E0933" w14:textId="63C170FE" w:rsidR="00930D20" w:rsidRPr="00E85BBA" w:rsidRDefault="00CC48C5" w:rsidP="008B3C86">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As we focus in this paper on the “Accuracy” dimension, we consider the following indicators regarding this dimension</w:t>
      </w:r>
      <w:r w:rsidR="00B55D0B" w:rsidRPr="00E85BBA">
        <w:rPr>
          <w:rFonts w:asciiTheme="majorBidi" w:eastAsia="Times New Roman" w:hAnsiTheme="majorBidi" w:cstheme="majorBidi"/>
          <w:sz w:val="24"/>
          <w:szCs w:val="24"/>
        </w:rPr>
        <w:t xml:space="preserve"> </w:t>
      </w:r>
      <w:r w:rsidR="008B3C86">
        <w:rPr>
          <w:rFonts w:asciiTheme="majorBidi" w:eastAsia="Times New Roman" w:hAnsiTheme="majorBidi" w:cstheme="majorBidi"/>
          <w:sz w:val="24"/>
          <w:szCs w:val="24"/>
        </w:rPr>
        <w:t xml:space="preserve">based on </w:t>
      </w:r>
      <w:r w:rsidR="008B3C86" w:rsidRPr="002E4D86">
        <w:rPr>
          <w:rFonts w:asciiTheme="majorBidi" w:eastAsia="Times New Roman" w:hAnsiTheme="majorBidi" w:cstheme="majorBidi"/>
          <w:sz w:val="24"/>
          <w:szCs w:val="24"/>
        </w:rPr>
        <w:t>(ESS</w:t>
      </w:r>
      <w:r w:rsidR="008B3C86">
        <w:rPr>
          <w:rFonts w:asciiTheme="majorBidi" w:eastAsia="Times New Roman" w:hAnsiTheme="majorBidi" w:cstheme="majorBidi"/>
          <w:sz w:val="24"/>
          <w:szCs w:val="24"/>
        </w:rPr>
        <w:t xml:space="preserve"> </w:t>
      </w:r>
      <w:r w:rsidR="008B3C86" w:rsidRPr="002E4D86">
        <w:rPr>
          <w:rFonts w:asciiTheme="majorBidi" w:eastAsia="Times New Roman" w:hAnsiTheme="majorBidi" w:cstheme="majorBidi"/>
          <w:sz w:val="24"/>
          <w:szCs w:val="24"/>
        </w:rPr>
        <w:t>QAF)</w:t>
      </w:r>
      <w:r w:rsidR="008B3C86">
        <w:rPr>
          <w:rFonts w:asciiTheme="majorBidi" w:eastAsia="Times New Roman" w:hAnsiTheme="majorBidi" w:cstheme="majorBidi"/>
          <w:sz w:val="24"/>
          <w:szCs w:val="24"/>
        </w:rPr>
        <w:t>:</w:t>
      </w:r>
    </w:p>
    <w:p w14:paraId="0833ACE4" w14:textId="1546FDCD" w:rsidR="00CC48C5" w:rsidRPr="00E85BBA" w:rsidRDefault="00B6561F" w:rsidP="005A3732">
      <w:pPr>
        <w:pStyle w:val="ListParagraph"/>
        <w:numPr>
          <w:ilvl w:val="0"/>
          <w:numId w:val="2"/>
        </w:num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A</w:t>
      </w:r>
      <w:r w:rsidR="00CC48C5" w:rsidRPr="00E85BBA">
        <w:rPr>
          <w:rFonts w:asciiTheme="majorBidi" w:eastAsia="Times New Roman" w:hAnsiTheme="majorBidi" w:cstheme="majorBidi"/>
          <w:sz w:val="24"/>
          <w:szCs w:val="24"/>
        </w:rPr>
        <w:t xml:space="preserve">chieved </w:t>
      </w:r>
      <w:r w:rsidR="00E30359" w:rsidRPr="00E85BBA">
        <w:rPr>
          <w:rFonts w:asciiTheme="majorBidi" w:eastAsia="Times New Roman" w:hAnsiTheme="majorBidi" w:cstheme="majorBidi"/>
          <w:sz w:val="24"/>
          <w:szCs w:val="24"/>
        </w:rPr>
        <w:t>Coefficient of Variations (</w:t>
      </w:r>
      <w:r w:rsidR="00CC48C5" w:rsidRPr="00E85BBA">
        <w:rPr>
          <w:rFonts w:asciiTheme="majorBidi" w:eastAsia="Times New Roman" w:hAnsiTheme="majorBidi" w:cstheme="majorBidi"/>
          <w:sz w:val="24"/>
          <w:szCs w:val="24"/>
        </w:rPr>
        <w:t>CVs</w:t>
      </w:r>
      <w:r w:rsidR="00E30359" w:rsidRPr="00E85BBA">
        <w:rPr>
          <w:rFonts w:asciiTheme="majorBidi" w:eastAsia="Times New Roman" w:hAnsiTheme="majorBidi" w:cstheme="majorBidi"/>
          <w:sz w:val="24"/>
          <w:szCs w:val="24"/>
        </w:rPr>
        <w:t>)</w:t>
      </w:r>
      <w:r w:rsidR="00CC48C5" w:rsidRPr="00E85BBA">
        <w:rPr>
          <w:rFonts w:asciiTheme="majorBidi" w:eastAsia="Times New Roman" w:hAnsiTheme="majorBidi" w:cstheme="majorBidi"/>
          <w:sz w:val="24"/>
          <w:szCs w:val="24"/>
        </w:rPr>
        <w:t xml:space="preserve"> of key variables in domains of interest</w:t>
      </w:r>
      <w:r w:rsidR="00D1582A">
        <w:rPr>
          <w:rFonts w:asciiTheme="majorBidi" w:eastAsia="Times New Roman" w:hAnsiTheme="majorBidi" w:cstheme="majorBidi"/>
          <w:sz w:val="24"/>
          <w:szCs w:val="24"/>
        </w:rPr>
        <w:t>.</w:t>
      </w:r>
      <w:r w:rsidR="00CC48C5" w:rsidRPr="00E85BBA">
        <w:rPr>
          <w:rFonts w:asciiTheme="majorBidi" w:eastAsia="Times New Roman" w:hAnsiTheme="majorBidi" w:cstheme="majorBidi"/>
          <w:sz w:val="24"/>
          <w:szCs w:val="24"/>
        </w:rPr>
        <w:t xml:space="preserve"> </w:t>
      </w:r>
    </w:p>
    <w:p w14:paraId="417C659E" w14:textId="77777777" w:rsidR="00CC48C5" w:rsidRPr="00E85BBA" w:rsidRDefault="00CC48C5" w:rsidP="005A3732">
      <w:pPr>
        <w:pStyle w:val="ListParagraph"/>
        <w:numPr>
          <w:ilvl w:val="0"/>
          <w:numId w:val="2"/>
        </w:numPr>
        <w:spacing w:after="0" w:line="240" w:lineRule="auto"/>
        <w:contextualSpacing w:val="0"/>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rate of over-coverage: The proportion of units accessible via the frame that do not belong to the target.</w:t>
      </w:r>
    </w:p>
    <w:p w14:paraId="5C53407A" w14:textId="77777777" w:rsidR="00856A55" w:rsidRPr="00E85BBA" w:rsidRDefault="00CC48C5" w:rsidP="005A3732">
      <w:pPr>
        <w:pStyle w:val="ListParagraph"/>
        <w:numPr>
          <w:ilvl w:val="0"/>
          <w:numId w:val="2"/>
        </w:numPr>
        <w:spacing w:after="0" w:line="240" w:lineRule="auto"/>
        <w:contextualSpacing w:val="0"/>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Response </w:t>
      </w:r>
      <w:r w:rsidR="00B55D0B" w:rsidRPr="00E85BBA">
        <w:rPr>
          <w:rFonts w:asciiTheme="majorBidi" w:eastAsia="Times New Roman" w:hAnsiTheme="majorBidi" w:cstheme="majorBidi"/>
          <w:sz w:val="24"/>
          <w:szCs w:val="24"/>
        </w:rPr>
        <w:t>and non-response r</w:t>
      </w:r>
      <w:r w:rsidRPr="00E85BBA">
        <w:rPr>
          <w:rFonts w:asciiTheme="majorBidi" w:eastAsia="Times New Roman" w:hAnsiTheme="majorBidi" w:cstheme="majorBidi"/>
          <w:sz w:val="24"/>
          <w:szCs w:val="24"/>
        </w:rPr>
        <w:t>ates</w:t>
      </w:r>
      <w:r w:rsidR="00930D20" w:rsidRPr="00E85BBA">
        <w:rPr>
          <w:rFonts w:asciiTheme="majorBidi" w:eastAsia="Times New Roman" w:hAnsiTheme="majorBidi" w:cstheme="majorBidi"/>
          <w:sz w:val="24"/>
          <w:szCs w:val="24"/>
        </w:rPr>
        <w:t>.</w:t>
      </w:r>
    </w:p>
    <w:p w14:paraId="3322598E" w14:textId="77777777" w:rsidR="00B6561F" w:rsidRPr="00D1582A" w:rsidRDefault="00B6561F" w:rsidP="00D1582A">
      <w:pPr>
        <w:tabs>
          <w:tab w:val="left" w:pos="720"/>
        </w:tabs>
        <w:spacing w:after="0" w:line="240" w:lineRule="auto"/>
        <w:jc w:val="both"/>
        <w:rPr>
          <w:rFonts w:asciiTheme="majorBidi" w:eastAsia="Times New Roman" w:hAnsiTheme="majorBidi" w:cstheme="majorBidi"/>
          <w:b/>
          <w:bCs/>
          <w:i/>
          <w:iCs/>
          <w:sz w:val="24"/>
          <w:szCs w:val="24"/>
        </w:rPr>
      </w:pPr>
      <w:r w:rsidRPr="00D1582A">
        <w:rPr>
          <w:rFonts w:asciiTheme="majorBidi" w:eastAsia="Times New Roman" w:hAnsiTheme="majorBidi" w:cstheme="majorBidi"/>
          <w:b/>
          <w:bCs/>
          <w:i/>
          <w:iCs/>
          <w:sz w:val="24"/>
          <w:szCs w:val="24"/>
        </w:rPr>
        <w:lastRenderedPageBreak/>
        <w:t>Achieved CVs of key variables in domains of interest</w:t>
      </w:r>
      <w:r w:rsidR="00E30359" w:rsidRPr="00D1582A">
        <w:rPr>
          <w:rFonts w:asciiTheme="majorBidi" w:eastAsia="Times New Roman" w:hAnsiTheme="majorBidi" w:cstheme="majorBidi"/>
          <w:b/>
          <w:bCs/>
          <w:i/>
          <w:iCs/>
          <w:sz w:val="24"/>
          <w:szCs w:val="24"/>
        </w:rPr>
        <w:t>:</w:t>
      </w:r>
    </w:p>
    <w:p w14:paraId="47D25D66" w14:textId="44D1FE29" w:rsidR="000C48AF" w:rsidRDefault="00843A6A" w:rsidP="00843A6A">
      <w:pPr>
        <w:tabs>
          <w:tab w:val="left" w:pos="720"/>
        </w:tabs>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We c</w:t>
      </w:r>
      <w:r w:rsidR="002005CC">
        <w:rPr>
          <w:rFonts w:asciiTheme="majorBidi" w:eastAsia="Times New Roman" w:hAnsiTheme="majorBidi" w:cstheme="majorBidi"/>
          <w:sz w:val="24"/>
          <w:szCs w:val="24"/>
        </w:rPr>
        <w:t>onsider comparing</w:t>
      </w:r>
      <w:r w:rsidR="002005CC" w:rsidRPr="00E85BBA">
        <w:rPr>
          <w:rFonts w:asciiTheme="majorBidi" w:eastAsia="Times New Roman" w:hAnsiTheme="majorBidi" w:cstheme="majorBidi"/>
          <w:sz w:val="24"/>
          <w:szCs w:val="24"/>
        </w:rPr>
        <w:t xml:space="preserve"> the computed CV</w:t>
      </w:r>
      <w:r w:rsidR="00300C52">
        <w:rPr>
          <w:rFonts w:asciiTheme="majorBidi" w:eastAsia="Times New Roman" w:hAnsiTheme="majorBidi" w:cstheme="majorBidi"/>
          <w:sz w:val="24"/>
          <w:szCs w:val="24"/>
        </w:rPr>
        <w:t>s</w:t>
      </w:r>
      <w:r w:rsidR="002005CC" w:rsidRPr="00E85BBA">
        <w:rPr>
          <w:rFonts w:asciiTheme="majorBidi" w:eastAsia="Times New Roman" w:hAnsiTheme="majorBidi" w:cstheme="majorBidi"/>
          <w:sz w:val="24"/>
          <w:szCs w:val="24"/>
        </w:rPr>
        <w:t xml:space="preserve"> </w:t>
      </w:r>
      <w:r w:rsidR="009106EE">
        <w:rPr>
          <w:rFonts w:asciiTheme="majorBidi" w:eastAsia="Times New Roman" w:hAnsiTheme="majorBidi" w:cstheme="majorBidi"/>
          <w:sz w:val="24"/>
          <w:szCs w:val="24"/>
        </w:rPr>
        <w:t>for both</w:t>
      </w:r>
      <w:r w:rsidR="002005CC">
        <w:rPr>
          <w:rFonts w:asciiTheme="majorBidi" w:eastAsia="Times New Roman" w:hAnsiTheme="majorBidi" w:cstheme="majorBidi"/>
          <w:sz w:val="24"/>
          <w:szCs w:val="24"/>
        </w:rPr>
        <w:t xml:space="preserve"> </w:t>
      </w:r>
      <w:r w:rsidR="00551E63">
        <w:rPr>
          <w:rFonts w:asciiTheme="majorBidi" w:eastAsia="Times New Roman" w:hAnsiTheme="majorBidi" w:cstheme="majorBidi"/>
          <w:sz w:val="24"/>
          <w:szCs w:val="24"/>
        </w:rPr>
        <w:t>COVID-19</w:t>
      </w:r>
      <w:r w:rsidR="000C48AF" w:rsidRPr="00E85BBA">
        <w:rPr>
          <w:rFonts w:asciiTheme="majorBidi" w:eastAsia="Times New Roman" w:hAnsiTheme="majorBidi" w:cstheme="majorBidi"/>
          <w:sz w:val="24"/>
          <w:szCs w:val="24"/>
        </w:rPr>
        <w:t xml:space="preserve"> survey</w:t>
      </w:r>
      <w:r w:rsidR="009106EE">
        <w:rPr>
          <w:rFonts w:asciiTheme="majorBidi" w:eastAsia="Times New Roman" w:hAnsiTheme="majorBidi" w:cstheme="majorBidi"/>
          <w:sz w:val="24"/>
          <w:szCs w:val="24"/>
        </w:rPr>
        <w:t xml:space="preserve"> 2020</w:t>
      </w:r>
      <w:r w:rsidR="000C48AF" w:rsidRPr="00E85BBA">
        <w:rPr>
          <w:rFonts w:asciiTheme="majorBidi" w:eastAsia="Times New Roman" w:hAnsiTheme="majorBidi" w:cstheme="majorBidi"/>
          <w:sz w:val="24"/>
          <w:szCs w:val="24"/>
        </w:rPr>
        <w:t xml:space="preserve"> and </w:t>
      </w:r>
      <w:r w:rsidR="009106EE">
        <w:rPr>
          <w:rFonts w:asciiTheme="majorBidi" w:eastAsia="Times New Roman" w:hAnsiTheme="majorBidi" w:cstheme="majorBidi"/>
          <w:sz w:val="24"/>
          <w:szCs w:val="24"/>
        </w:rPr>
        <w:t xml:space="preserve">Labor Force survey 2020 with the previous </w:t>
      </w:r>
      <w:r>
        <w:rPr>
          <w:rFonts w:asciiTheme="majorBidi" w:eastAsia="Times New Roman" w:hAnsiTheme="majorBidi" w:cstheme="majorBidi"/>
          <w:sz w:val="24"/>
          <w:szCs w:val="24"/>
        </w:rPr>
        <w:t>cycles</w:t>
      </w:r>
      <w:r w:rsidR="009106E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that </w:t>
      </w:r>
      <w:r w:rsidR="009106EE">
        <w:rPr>
          <w:rFonts w:asciiTheme="majorBidi" w:eastAsia="Times New Roman" w:hAnsiTheme="majorBidi" w:cstheme="majorBidi"/>
          <w:sz w:val="24"/>
          <w:szCs w:val="24"/>
        </w:rPr>
        <w:t>implemented using CAPI mode</w:t>
      </w:r>
      <w:r w:rsidR="002005CC">
        <w:rPr>
          <w:rFonts w:asciiTheme="majorBidi" w:eastAsia="Times New Roman" w:hAnsiTheme="majorBidi" w:cstheme="majorBidi"/>
          <w:sz w:val="24"/>
          <w:szCs w:val="24"/>
        </w:rPr>
        <w:t xml:space="preserve">. </w:t>
      </w:r>
      <w:r w:rsidR="002005CC" w:rsidRPr="00E85BBA">
        <w:rPr>
          <w:rFonts w:asciiTheme="majorBidi" w:eastAsia="Times New Roman" w:hAnsiTheme="majorBidi" w:cstheme="majorBidi"/>
          <w:sz w:val="24"/>
          <w:szCs w:val="24"/>
        </w:rPr>
        <w:t xml:space="preserve">In order to </w:t>
      </w:r>
      <w:r w:rsidR="002005CC">
        <w:rPr>
          <w:rFonts w:asciiTheme="majorBidi" w:eastAsia="Times New Roman" w:hAnsiTheme="majorBidi" w:cstheme="majorBidi"/>
          <w:sz w:val="24"/>
          <w:szCs w:val="24"/>
        </w:rPr>
        <w:t>do so, we</w:t>
      </w:r>
      <w:r w:rsidR="002005CC" w:rsidRPr="00E85BBA">
        <w:rPr>
          <w:rFonts w:asciiTheme="majorBidi" w:eastAsia="Times New Roman" w:hAnsiTheme="majorBidi" w:cstheme="majorBidi"/>
          <w:sz w:val="24"/>
          <w:szCs w:val="24"/>
        </w:rPr>
        <w:t xml:space="preserve"> </w:t>
      </w:r>
      <w:r w:rsidR="006021F8" w:rsidRPr="00E85BBA">
        <w:rPr>
          <w:rFonts w:asciiTheme="majorBidi" w:eastAsia="Times New Roman" w:hAnsiTheme="majorBidi" w:cstheme="majorBidi"/>
          <w:sz w:val="24"/>
          <w:szCs w:val="24"/>
        </w:rPr>
        <w:t>choose</w:t>
      </w:r>
      <w:r w:rsidR="000C48AF" w:rsidRPr="00E85BBA">
        <w:rPr>
          <w:rFonts w:asciiTheme="majorBidi" w:eastAsia="Times New Roman" w:hAnsiTheme="majorBidi" w:cstheme="majorBidi"/>
          <w:sz w:val="24"/>
          <w:szCs w:val="24"/>
        </w:rPr>
        <w:t xml:space="preserve"> some of the key variable</w:t>
      </w:r>
      <w:r w:rsidR="00FA0C06" w:rsidRPr="00E85BBA">
        <w:rPr>
          <w:rFonts w:asciiTheme="majorBidi" w:eastAsia="Times New Roman" w:hAnsiTheme="majorBidi" w:cstheme="majorBidi"/>
          <w:sz w:val="24"/>
          <w:szCs w:val="24"/>
        </w:rPr>
        <w:t>s</w:t>
      </w:r>
      <w:r w:rsidR="009106EE">
        <w:rPr>
          <w:rFonts w:asciiTheme="majorBidi" w:eastAsia="Times New Roman" w:hAnsiTheme="majorBidi" w:cstheme="majorBidi"/>
          <w:sz w:val="24"/>
          <w:szCs w:val="24"/>
        </w:rPr>
        <w:t xml:space="preserve"> of both surveys and compared their computed CV values with the ones of previous cycles’ key variables.</w:t>
      </w:r>
    </w:p>
    <w:p w14:paraId="6E12E6CE" w14:textId="77777777" w:rsidR="009106EE" w:rsidRPr="00E85BBA" w:rsidRDefault="009106EE" w:rsidP="009106EE">
      <w:pPr>
        <w:tabs>
          <w:tab w:val="left" w:pos="720"/>
        </w:tabs>
        <w:spacing w:after="0" w:line="240" w:lineRule="auto"/>
        <w:jc w:val="both"/>
        <w:rPr>
          <w:rFonts w:asciiTheme="majorBidi" w:eastAsia="Times New Roman" w:hAnsiTheme="majorBidi" w:cstheme="majorBidi"/>
          <w:sz w:val="24"/>
          <w:szCs w:val="24"/>
        </w:rPr>
      </w:pPr>
    </w:p>
    <w:p w14:paraId="6C55F076" w14:textId="0F91DE4F" w:rsidR="00FA0C06" w:rsidRPr="00E85BBA" w:rsidRDefault="0057034B" w:rsidP="0057034B">
      <w:pPr>
        <w:tabs>
          <w:tab w:val="left" w:pos="720"/>
        </w:tabs>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w:t>
      </w:r>
      <w:r w:rsidR="00FA0C06" w:rsidRPr="00E85BBA">
        <w:rPr>
          <w:rFonts w:asciiTheme="majorBidi" w:eastAsia="Times New Roman" w:hAnsiTheme="majorBidi" w:cstheme="majorBidi"/>
          <w:sz w:val="24"/>
          <w:szCs w:val="24"/>
        </w:rPr>
        <w:t>egarding Covid-19 survey</w:t>
      </w:r>
      <w:r w:rsidR="009106E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we considered the following key variables</w:t>
      </w:r>
      <w:r w:rsidR="00FA0C06" w:rsidRPr="00E85BBA">
        <w:rPr>
          <w:rFonts w:asciiTheme="majorBidi" w:eastAsia="Times New Roman" w:hAnsiTheme="majorBidi" w:cstheme="majorBidi"/>
          <w:sz w:val="24"/>
          <w:szCs w:val="24"/>
        </w:rPr>
        <w:t>:</w:t>
      </w:r>
    </w:p>
    <w:p w14:paraId="37F6D9FA" w14:textId="77777777" w:rsidR="000C48AF" w:rsidRPr="00E85BBA" w:rsidRDefault="00EE5870" w:rsidP="005A3732">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Percentage of households in Palestine that receive assistance from one of the social protection programs.</w:t>
      </w:r>
    </w:p>
    <w:p w14:paraId="14151015" w14:textId="4C94C30E" w:rsidR="000C48AF" w:rsidRPr="00E85BBA" w:rsidRDefault="000C48AF" w:rsidP="005A3732">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Percentage of households that </w:t>
      </w:r>
      <w:r w:rsidR="007A46F6" w:rsidRPr="00E85BBA">
        <w:rPr>
          <w:rFonts w:asciiTheme="majorBidi" w:eastAsia="Times New Roman" w:hAnsiTheme="majorBidi" w:cstheme="majorBidi"/>
          <w:sz w:val="24"/>
          <w:szCs w:val="24"/>
        </w:rPr>
        <w:t>declaring</w:t>
      </w:r>
      <w:r w:rsidR="0042564A" w:rsidRPr="00E85BBA">
        <w:rPr>
          <w:rFonts w:asciiTheme="majorBidi" w:eastAsia="Times New Roman" w:hAnsiTheme="majorBidi" w:cstheme="majorBidi"/>
          <w:sz w:val="24"/>
          <w:szCs w:val="24"/>
        </w:rPr>
        <w:t xml:space="preserve"> a state of emergency </w:t>
      </w:r>
      <w:r w:rsidR="00925677" w:rsidRPr="00E85BBA">
        <w:rPr>
          <w:rFonts w:asciiTheme="majorBidi" w:eastAsia="Times New Roman" w:hAnsiTheme="majorBidi" w:cstheme="majorBidi"/>
          <w:sz w:val="24"/>
          <w:szCs w:val="24"/>
        </w:rPr>
        <w:t>because</w:t>
      </w:r>
      <w:r w:rsidR="0042564A" w:rsidRPr="00E85BBA">
        <w:rPr>
          <w:rFonts w:asciiTheme="majorBidi" w:eastAsia="Times New Roman" w:hAnsiTheme="majorBidi" w:cstheme="majorBidi"/>
          <w:sz w:val="24"/>
          <w:szCs w:val="24"/>
        </w:rPr>
        <w:t xml:space="preserve"> of COVID -19 pandemic is the main reason that made the main income earner to stop working during the lockdown period (March-May), 2020</w:t>
      </w:r>
      <w:r w:rsidR="002C4C0B" w:rsidRPr="00E85BBA">
        <w:rPr>
          <w:rFonts w:asciiTheme="majorBidi" w:eastAsia="Times New Roman" w:hAnsiTheme="majorBidi" w:cstheme="majorBidi"/>
          <w:sz w:val="24"/>
          <w:szCs w:val="24"/>
        </w:rPr>
        <w:t>.</w:t>
      </w:r>
    </w:p>
    <w:p w14:paraId="0716BB51" w14:textId="77777777" w:rsidR="002C4C0B" w:rsidRPr="00E85BBA" w:rsidRDefault="002C4C0B" w:rsidP="005A3732">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Percentage of households that the monthly household income decreased by the half or more during the lockdown period (March-May), 2020.</w:t>
      </w:r>
    </w:p>
    <w:p w14:paraId="1983FB81" w14:textId="23FDD465" w:rsidR="009F1910" w:rsidRPr="009106EE" w:rsidRDefault="000C48AF" w:rsidP="009106EE">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Percentage of households that </w:t>
      </w:r>
      <w:r w:rsidR="00981746" w:rsidRPr="00E85BBA">
        <w:rPr>
          <w:rFonts w:asciiTheme="majorBidi" w:eastAsia="Times New Roman" w:hAnsiTheme="majorBidi" w:cstheme="majorBidi"/>
          <w:sz w:val="24"/>
          <w:szCs w:val="24"/>
        </w:rPr>
        <w:t>no internet available at home is</w:t>
      </w:r>
      <w:r w:rsidR="002C4C0B" w:rsidRPr="00E85BBA">
        <w:rPr>
          <w:rFonts w:asciiTheme="majorBidi" w:eastAsia="Times New Roman" w:hAnsiTheme="majorBidi" w:cstheme="majorBidi"/>
          <w:sz w:val="24"/>
          <w:szCs w:val="24"/>
        </w:rPr>
        <w:t xml:space="preserve"> the main reason for </w:t>
      </w:r>
      <w:r w:rsidR="007A46F6" w:rsidRPr="00E85BBA">
        <w:rPr>
          <w:rFonts w:asciiTheme="majorBidi" w:eastAsia="Times New Roman" w:hAnsiTheme="majorBidi" w:cstheme="majorBidi"/>
          <w:sz w:val="24"/>
          <w:szCs w:val="24"/>
        </w:rPr>
        <w:t>children</w:t>
      </w:r>
      <w:r w:rsidR="002C4C0B" w:rsidRPr="00E85BBA">
        <w:rPr>
          <w:rFonts w:asciiTheme="majorBidi" w:eastAsia="Times New Roman" w:hAnsiTheme="majorBidi" w:cstheme="majorBidi"/>
          <w:sz w:val="24"/>
          <w:szCs w:val="24"/>
        </w:rPr>
        <w:t xml:space="preserve"> </w:t>
      </w:r>
      <w:r w:rsidR="007A46F6" w:rsidRPr="00E85BBA">
        <w:rPr>
          <w:rFonts w:asciiTheme="majorBidi" w:eastAsia="Times New Roman" w:hAnsiTheme="majorBidi" w:cstheme="majorBidi"/>
          <w:sz w:val="24"/>
          <w:szCs w:val="24"/>
        </w:rPr>
        <w:t>do not</w:t>
      </w:r>
      <w:r w:rsidR="002C4C0B" w:rsidRPr="00E85BBA">
        <w:rPr>
          <w:rFonts w:asciiTheme="majorBidi" w:eastAsia="Times New Roman" w:hAnsiTheme="majorBidi" w:cstheme="majorBidi"/>
          <w:sz w:val="24"/>
          <w:szCs w:val="24"/>
        </w:rPr>
        <w:t xml:space="preserve"> participate in educational activities.</w:t>
      </w:r>
    </w:p>
    <w:p w14:paraId="0073C582" w14:textId="7B1BA2CA" w:rsidR="00FA0C06" w:rsidRPr="00E85BBA" w:rsidRDefault="0057034B" w:rsidP="0057034B">
      <w:pPr>
        <w:tabs>
          <w:tab w:val="left" w:pos="720"/>
        </w:tabs>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While for </w:t>
      </w:r>
      <w:proofErr w:type="spellStart"/>
      <w:r w:rsidR="00FA0C06" w:rsidRPr="00E85BBA">
        <w:rPr>
          <w:rFonts w:asciiTheme="majorBidi" w:eastAsia="Times New Roman" w:hAnsiTheme="majorBidi" w:cstheme="majorBidi"/>
          <w:sz w:val="24"/>
          <w:szCs w:val="24"/>
        </w:rPr>
        <w:t>SEFSec</w:t>
      </w:r>
      <w:proofErr w:type="spellEnd"/>
      <w:r w:rsidR="00FA0C06" w:rsidRPr="00E85BBA">
        <w:rPr>
          <w:rFonts w:asciiTheme="majorBidi" w:eastAsia="Times New Roman" w:hAnsiTheme="majorBidi" w:cstheme="majorBidi"/>
          <w:sz w:val="24"/>
          <w:szCs w:val="24"/>
        </w:rPr>
        <w:t xml:space="preserve"> 2018 survey</w:t>
      </w:r>
      <w:r>
        <w:rPr>
          <w:rFonts w:asciiTheme="majorBidi" w:eastAsia="Times New Roman" w:hAnsiTheme="majorBidi" w:cstheme="majorBidi"/>
          <w:sz w:val="24"/>
          <w:szCs w:val="24"/>
        </w:rPr>
        <w:t xml:space="preserve">, the following </w:t>
      </w:r>
      <w:r w:rsidRPr="00E85BBA">
        <w:rPr>
          <w:rFonts w:asciiTheme="majorBidi" w:eastAsia="Times New Roman" w:hAnsiTheme="majorBidi" w:cstheme="majorBidi"/>
          <w:sz w:val="24"/>
          <w:szCs w:val="24"/>
        </w:rPr>
        <w:t xml:space="preserve">key variables </w:t>
      </w:r>
      <w:r w:rsidR="009106EE">
        <w:rPr>
          <w:rFonts w:asciiTheme="majorBidi" w:eastAsia="Times New Roman" w:hAnsiTheme="majorBidi" w:cstheme="majorBidi"/>
          <w:sz w:val="24"/>
          <w:szCs w:val="24"/>
        </w:rPr>
        <w:t>are</w:t>
      </w:r>
      <w:r>
        <w:rPr>
          <w:rFonts w:asciiTheme="majorBidi" w:eastAsia="Times New Roman" w:hAnsiTheme="majorBidi" w:cstheme="majorBidi"/>
          <w:sz w:val="24"/>
          <w:szCs w:val="24"/>
        </w:rPr>
        <w:t xml:space="preserve"> considered</w:t>
      </w:r>
      <w:r w:rsidR="00FA0C06" w:rsidRPr="00E85BBA">
        <w:rPr>
          <w:rFonts w:asciiTheme="majorBidi" w:eastAsia="Times New Roman" w:hAnsiTheme="majorBidi" w:cstheme="majorBidi"/>
          <w:sz w:val="24"/>
          <w:szCs w:val="24"/>
        </w:rPr>
        <w:t>:</w:t>
      </w:r>
    </w:p>
    <w:p w14:paraId="746CC266" w14:textId="77777777" w:rsidR="00FA0C06" w:rsidRPr="00E85BBA" w:rsidRDefault="00FA0C06" w:rsidP="005A3732">
      <w:pPr>
        <w:pStyle w:val="ListParagraph"/>
        <w:numPr>
          <w:ilvl w:val="0"/>
          <w:numId w:val="21"/>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Percentage of households that government wage and salary is the main source of income</w:t>
      </w:r>
    </w:p>
    <w:p w14:paraId="0B6AA969" w14:textId="77777777" w:rsidR="00FA0C06" w:rsidRPr="00E85BBA" w:rsidRDefault="00FA0C06" w:rsidP="005A3732">
      <w:pPr>
        <w:pStyle w:val="ListParagraph"/>
        <w:numPr>
          <w:ilvl w:val="0"/>
          <w:numId w:val="21"/>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Percentage of households that private sector wage and salary is the main source of income</w:t>
      </w:r>
    </w:p>
    <w:p w14:paraId="15F1E4CF" w14:textId="77777777" w:rsidR="00FA0C06" w:rsidRPr="00E85BBA" w:rsidRDefault="00FA0C06" w:rsidP="005A3732">
      <w:pPr>
        <w:pStyle w:val="ListParagraph"/>
        <w:numPr>
          <w:ilvl w:val="0"/>
          <w:numId w:val="21"/>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Percentage of households that wages from Israeli labor sectors is the main source of income.</w:t>
      </w:r>
    </w:p>
    <w:p w14:paraId="7BE38D7F" w14:textId="5BC9E34F" w:rsidR="00FA0C06" w:rsidRDefault="00FA0C06" w:rsidP="005A3732">
      <w:pPr>
        <w:pStyle w:val="ListParagraph"/>
        <w:numPr>
          <w:ilvl w:val="0"/>
          <w:numId w:val="21"/>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Percentage </w:t>
      </w:r>
      <w:r w:rsidR="00EE5870" w:rsidRPr="00E85BBA">
        <w:rPr>
          <w:rFonts w:asciiTheme="majorBidi" w:eastAsia="Times New Roman" w:hAnsiTheme="majorBidi" w:cstheme="majorBidi"/>
          <w:sz w:val="24"/>
          <w:szCs w:val="24"/>
        </w:rPr>
        <w:t>of households</w:t>
      </w:r>
      <w:r w:rsidRPr="00E85BBA">
        <w:rPr>
          <w:rFonts w:asciiTheme="majorBidi" w:eastAsia="Times New Roman" w:hAnsiTheme="majorBidi" w:cstheme="majorBidi"/>
          <w:sz w:val="24"/>
          <w:szCs w:val="24"/>
        </w:rPr>
        <w:t xml:space="preserve"> in Palestine that receive assistance.</w:t>
      </w:r>
    </w:p>
    <w:p w14:paraId="6B222583" w14:textId="77777777" w:rsidR="009106EE" w:rsidRDefault="009106EE" w:rsidP="009106EE">
      <w:pPr>
        <w:pStyle w:val="ListParagraph"/>
        <w:tabs>
          <w:tab w:val="left" w:pos="720"/>
        </w:tabs>
        <w:spacing w:after="0" w:line="240" w:lineRule="auto"/>
        <w:jc w:val="both"/>
        <w:rPr>
          <w:rFonts w:asciiTheme="majorBidi" w:eastAsia="Times New Roman" w:hAnsiTheme="majorBidi" w:cstheme="majorBidi"/>
          <w:sz w:val="24"/>
          <w:szCs w:val="24"/>
        </w:rPr>
      </w:pPr>
    </w:p>
    <w:p w14:paraId="63B83918" w14:textId="38ED53E5" w:rsidR="007A1640" w:rsidRDefault="00172254" w:rsidP="00300C52">
      <w:p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w:t>
      </w:r>
      <w:r w:rsidR="007A1640" w:rsidRPr="00E85BBA">
        <w:rPr>
          <w:rFonts w:asciiTheme="majorBidi" w:eastAsia="Times New Roman" w:hAnsiTheme="majorBidi" w:cstheme="majorBidi"/>
          <w:sz w:val="24"/>
          <w:szCs w:val="24"/>
        </w:rPr>
        <w:t>h</w:t>
      </w:r>
      <w:r w:rsidR="000A2D74" w:rsidRPr="00E85BBA">
        <w:rPr>
          <w:rFonts w:asciiTheme="majorBidi" w:eastAsia="Times New Roman" w:hAnsiTheme="majorBidi" w:cstheme="majorBidi"/>
          <w:sz w:val="24"/>
          <w:szCs w:val="24"/>
        </w:rPr>
        <w:t>e</w:t>
      </w:r>
      <w:r w:rsidRPr="00E85BBA">
        <w:rPr>
          <w:rFonts w:asciiTheme="majorBidi" w:eastAsia="Times New Roman" w:hAnsiTheme="majorBidi" w:cstheme="majorBidi"/>
          <w:sz w:val="24"/>
          <w:szCs w:val="24"/>
        </w:rPr>
        <w:t xml:space="preserve"> </w:t>
      </w:r>
      <w:r w:rsidR="006021F8" w:rsidRPr="00E85BBA">
        <w:rPr>
          <w:rFonts w:asciiTheme="majorBidi" w:eastAsia="Times New Roman" w:hAnsiTheme="majorBidi" w:cstheme="majorBidi"/>
          <w:sz w:val="24"/>
          <w:szCs w:val="24"/>
        </w:rPr>
        <w:t>value</w:t>
      </w:r>
      <w:r w:rsidR="00A84FA4" w:rsidRPr="00E85BBA">
        <w:rPr>
          <w:rFonts w:asciiTheme="majorBidi" w:eastAsia="Times New Roman" w:hAnsiTheme="majorBidi" w:cstheme="majorBidi"/>
          <w:sz w:val="24"/>
          <w:szCs w:val="24"/>
        </w:rPr>
        <w:t xml:space="preserve"> of computed CV</w:t>
      </w:r>
      <w:r w:rsidR="00300C52">
        <w:rPr>
          <w:rFonts w:asciiTheme="majorBidi" w:eastAsia="Times New Roman" w:hAnsiTheme="majorBidi" w:cstheme="majorBidi"/>
          <w:sz w:val="24"/>
          <w:szCs w:val="24"/>
        </w:rPr>
        <w:t>s</w:t>
      </w:r>
      <w:r w:rsidRPr="00E85BBA">
        <w:rPr>
          <w:rFonts w:asciiTheme="majorBidi" w:eastAsia="Times New Roman" w:hAnsiTheme="majorBidi" w:cstheme="majorBidi"/>
          <w:sz w:val="24"/>
          <w:szCs w:val="24"/>
        </w:rPr>
        <w:t xml:space="preserve"> for </w:t>
      </w:r>
      <w:r w:rsidR="00A84FA4" w:rsidRPr="00E85BBA">
        <w:rPr>
          <w:rFonts w:asciiTheme="majorBidi" w:eastAsia="Times New Roman" w:hAnsiTheme="majorBidi" w:cstheme="majorBidi"/>
          <w:sz w:val="24"/>
          <w:szCs w:val="24"/>
        </w:rPr>
        <w:t xml:space="preserve">the </w:t>
      </w:r>
      <w:r w:rsidR="006021F8" w:rsidRPr="00E85BBA">
        <w:rPr>
          <w:rFonts w:asciiTheme="majorBidi" w:eastAsia="Times New Roman" w:hAnsiTheme="majorBidi" w:cstheme="majorBidi"/>
          <w:sz w:val="24"/>
          <w:szCs w:val="24"/>
        </w:rPr>
        <w:t>key</w:t>
      </w:r>
      <w:r w:rsidR="00A84FA4" w:rsidRPr="00E85BBA">
        <w:rPr>
          <w:rFonts w:asciiTheme="majorBidi" w:eastAsia="Times New Roman" w:hAnsiTheme="majorBidi" w:cstheme="majorBidi"/>
          <w:sz w:val="24"/>
          <w:szCs w:val="24"/>
        </w:rPr>
        <w:t xml:space="preserve"> indicators of </w:t>
      </w:r>
      <w:r w:rsidRPr="00E85BBA">
        <w:rPr>
          <w:rFonts w:asciiTheme="majorBidi" w:eastAsia="Times New Roman" w:hAnsiTheme="majorBidi" w:cstheme="majorBidi"/>
          <w:sz w:val="24"/>
          <w:szCs w:val="24"/>
        </w:rPr>
        <w:t xml:space="preserve">COVID-19 survey </w:t>
      </w:r>
      <w:r w:rsidR="00A84FA4" w:rsidRPr="00E85BBA">
        <w:rPr>
          <w:rFonts w:asciiTheme="majorBidi" w:eastAsia="Times New Roman" w:hAnsiTheme="majorBidi" w:cstheme="majorBidi"/>
          <w:sz w:val="24"/>
          <w:szCs w:val="24"/>
        </w:rPr>
        <w:t>range</w:t>
      </w:r>
      <w:r w:rsidR="006021F8" w:rsidRPr="00E85BBA">
        <w:rPr>
          <w:rFonts w:asciiTheme="majorBidi" w:eastAsia="Times New Roman" w:hAnsiTheme="majorBidi" w:cstheme="majorBidi"/>
          <w:sz w:val="24"/>
          <w:szCs w:val="24"/>
        </w:rPr>
        <w:t>s</w:t>
      </w:r>
      <w:r w:rsidR="00A84FA4" w:rsidRPr="00E85BBA">
        <w:rPr>
          <w:rFonts w:asciiTheme="majorBidi" w:eastAsia="Times New Roman" w:hAnsiTheme="majorBidi" w:cstheme="majorBidi"/>
          <w:sz w:val="24"/>
          <w:szCs w:val="24"/>
        </w:rPr>
        <w:t xml:space="preserve"> between</w:t>
      </w:r>
      <w:r w:rsidR="00073EE6" w:rsidRPr="00E85BBA">
        <w:rPr>
          <w:rFonts w:asciiTheme="majorBidi" w:eastAsia="Times New Roman" w:hAnsiTheme="majorBidi" w:cstheme="majorBidi"/>
          <w:sz w:val="24"/>
          <w:szCs w:val="24"/>
        </w:rPr>
        <w:t xml:space="preserve"> 2.1% and 5.4%</w:t>
      </w:r>
      <w:r w:rsidR="006021F8" w:rsidRPr="00E85BBA">
        <w:rPr>
          <w:rFonts w:asciiTheme="majorBidi" w:eastAsia="Times New Roman" w:hAnsiTheme="majorBidi" w:cstheme="majorBidi"/>
          <w:sz w:val="24"/>
          <w:szCs w:val="24"/>
        </w:rPr>
        <w:t>, while the value</w:t>
      </w:r>
      <w:r w:rsidR="00047B8B" w:rsidRPr="00E85BBA">
        <w:rPr>
          <w:rFonts w:asciiTheme="majorBidi" w:eastAsia="Times New Roman" w:hAnsiTheme="majorBidi" w:cstheme="majorBidi"/>
          <w:sz w:val="24"/>
          <w:szCs w:val="24"/>
        </w:rPr>
        <w:t xml:space="preserve"> of computed </w:t>
      </w:r>
      <w:r w:rsidR="007A46F6" w:rsidRPr="00E85BBA">
        <w:rPr>
          <w:rFonts w:asciiTheme="majorBidi" w:eastAsia="Times New Roman" w:hAnsiTheme="majorBidi" w:cstheme="majorBidi"/>
          <w:sz w:val="24"/>
          <w:szCs w:val="24"/>
        </w:rPr>
        <w:t xml:space="preserve">CV’s </w:t>
      </w:r>
      <w:r w:rsidR="00047B8B" w:rsidRPr="00E85BBA">
        <w:rPr>
          <w:rFonts w:asciiTheme="majorBidi" w:eastAsia="Times New Roman" w:hAnsiTheme="majorBidi" w:cstheme="majorBidi"/>
          <w:sz w:val="24"/>
          <w:szCs w:val="24"/>
        </w:rPr>
        <w:t xml:space="preserve">for the </w:t>
      </w:r>
      <w:r w:rsidR="006021F8" w:rsidRPr="00E85BBA">
        <w:rPr>
          <w:rFonts w:asciiTheme="majorBidi" w:eastAsia="Times New Roman" w:hAnsiTheme="majorBidi" w:cstheme="majorBidi"/>
          <w:sz w:val="24"/>
          <w:szCs w:val="24"/>
        </w:rPr>
        <w:t>key</w:t>
      </w:r>
      <w:r w:rsidR="00047B8B" w:rsidRPr="00E85BBA">
        <w:rPr>
          <w:rFonts w:asciiTheme="majorBidi" w:eastAsia="Times New Roman" w:hAnsiTheme="majorBidi" w:cstheme="majorBidi"/>
          <w:sz w:val="24"/>
          <w:szCs w:val="24"/>
        </w:rPr>
        <w:t xml:space="preserve"> indicators of </w:t>
      </w:r>
      <w:proofErr w:type="spellStart"/>
      <w:r w:rsidR="0022608F" w:rsidRPr="00E85BBA">
        <w:rPr>
          <w:rFonts w:asciiTheme="majorBidi" w:eastAsia="Times New Roman" w:hAnsiTheme="majorBidi" w:cstheme="majorBidi"/>
          <w:sz w:val="24"/>
          <w:szCs w:val="24"/>
        </w:rPr>
        <w:t>SEFSec</w:t>
      </w:r>
      <w:proofErr w:type="spellEnd"/>
      <w:r w:rsidR="0022608F" w:rsidRPr="00E85BBA">
        <w:rPr>
          <w:rFonts w:asciiTheme="majorBidi" w:eastAsia="Times New Roman" w:hAnsiTheme="majorBidi" w:cstheme="majorBidi"/>
          <w:sz w:val="24"/>
          <w:szCs w:val="24"/>
        </w:rPr>
        <w:t xml:space="preserve"> 2018 survey range</w:t>
      </w:r>
      <w:r w:rsidR="006021F8" w:rsidRPr="00E85BBA">
        <w:rPr>
          <w:rFonts w:asciiTheme="majorBidi" w:eastAsia="Times New Roman" w:hAnsiTheme="majorBidi" w:cstheme="majorBidi"/>
          <w:sz w:val="24"/>
          <w:szCs w:val="24"/>
        </w:rPr>
        <w:t>s</w:t>
      </w:r>
      <w:r w:rsidR="0022608F" w:rsidRPr="00E85BBA">
        <w:rPr>
          <w:rFonts w:asciiTheme="majorBidi" w:eastAsia="Times New Roman" w:hAnsiTheme="majorBidi" w:cstheme="majorBidi"/>
          <w:sz w:val="24"/>
          <w:szCs w:val="24"/>
        </w:rPr>
        <w:t xml:space="preserve"> between </w:t>
      </w:r>
      <w:r w:rsidR="003B039F" w:rsidRPr="00E85BBA">
        <w:rPr>
          <w:rFonts w:asciiTheme="majorBidi" w:eastAsia="Times New Roman" w:hAnsiTheme="majorBidi" w:cstheme="majorBidi"/>
          <w:sz w:val="24"/>
          <w:szCs w:val="24"/>
        </w:rPr>
        <w:t xml:space="preserve">2.9% and 6.3%. </w:t>
      </w:r>
    </w:p>
    <w:p w14:paraId="3039EF65" w14:textId="1D88E912" w:rsidR="009106EE" w:rsidRPr="00E85BBA" w:rsidRDefault="0057034B" w:rsidP="00BE2E4A">
      <w:pPr>
        <w:tabs>
          <w:tab w:val="left" w:pos="720"/>
        </w:tabs>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On the </w:t>
      </w:r>
      <w:r w:rsidR="00E5735B">
        <w:rPr>
          <w:rFonts w:asciiTheme="majorBidi" w:eastAsia="Times New Roman" w:hAnsiTheme="majorBidi" w:cstheme="majorBidi"/>
          <w:sz w:val="24"/>
          <w:szCs w:val="24"/>
        </w:rPr>
        <w:t xml:space="preserve">other </w:t>
      </w:r>
      <w:r>
        <w:rPr>
          <w:rFonts w:asciiTheme="majorBidi" w:eastAsia="Times New Roman" w:hAnsiTheme="majorBidi" w:cstheme="majorBidi"/>
          <w:sz w:val="24"/>
          <w:szCs w:val="24"/>
        </w:rPr>
        <w:t xml:space="preserve">hand, </w:t>
      </w:r>
      <w:r w:rsidR="009106EE" w:rsidRPr="00E85BBA">
        <w:rPr>
          <w:rFonts w:asciiTheme="majorBidi" w:eastAsia="Times New Roman" w:hAnsiTheme="majorBidi" w:cstheme="majorBidi"/>
          <w:sz w:val="24"/>
          <w:szCs w:val="24"/>
        </w:rPr>
        <w:t xml:space="preserve">regarding </w:t>
      </w:r>
      <w:r w:rsidR="00BE2E4A">
        <w:rPr>
          <w:rFonts w:asciiTheme="majorBidi" w:eastAsia="Times New Roman" w:hAnsiTheme="majorBidi" w:cstheme="majorBidi"/>
          <w:sz w:val="24"/>
          <w:szCs w:val="24"/>
        </w:rPr>
        <w:t>LFS</w:t>
      </w:r>
      <w:r w:rsidR="009106E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of 2019 and 2020 we considered the following key variables</w:t>
      </w:r>
      <w:r w:rsidR="009106EE" w:rsidRPr="00E85BBA">
        <w:rPr>
          <w:rFonts w:asciiTheme="majorBidi" w:eastAsia="Times New Roman" w:hAnsiTheme="majorBidi" w:cstheme="majorBidi"/>
          <w:sz w:val="24"/>
          <w:szCs w:val="24"/>
        </w:rPr>
        <w:t>:</w:t>
      </w:r>
    </w:p>
    <w:p w14:paraId="39A1B54E" w14:textId="62AA024C" w:rsidR="009106EE" w:rsidRPr="00C50867" w:rsidRDefault="009106EE" w:rsidP="008267E7">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C50867">
        <w:rPr>
          <w:rFonts w:asciiTheme="majorBidi" w:eastAsia="Times New Roman" w:hAnsiTheme="majorBidi" w:cstheme="majorBidi"/>
          <w:sz w:val="24"/>
          <w:szCs w:val="24"/>
        </w:rPr>
        <w:t xml:space="preserve">Percentage of </w:t>
      </w:r>
      <w:r w:rsidR="008267E7" w:rsidRPr="00C50867">
        <w:rPr>
          <w:rFonts w:asciiTheme="majorBidi" w:eastAsia="Times New Roman" w:hAnsiTheme="majorBidi" w:cstheme="majorBidi"/>
          <w:sz w:val="24"/>
          <w:szCs w:val="24"/>
        </w:rPr>
        <w:t>employed population</w:t>
      </w:r>
      <w:r w:rsidRPr="00C50867">
        <w:rPr>
          <w:rFonts w:asciiTheme="majorBidi" w:eastAsia="Times New Roman" w:hAnsiTheme="majorBidi" w:cstheme="majorBidi"/>
          <w:sz w:val="24"/>
          <w:szCs w:val="24"/>
        </w:rPr>
        <w:t xml:space="preserve"> in Palestine</w:t>
      </w:r>
      <w:r w:rsidR="008267E7" w:rsidRPr="00C50867">
        <w:rPr>
          <w:rFonts w:asciiTheme="majorBidi" w:eastAsia="Times New Roman" w:hAnsiTheme="majorBidi" w:cstheme="majorBidi"/>
          <w:sz w:val="24"/>
          <w:szCs w:val="24"/>
        </w:rPr>
        <w:t>.</w:t>
      </w:r>
    </w:p>
    <w:p w14:paraId="0BB55358" w14:textId="55504814" w:rsidR="009106EE" w:rsidRPr="00C50867" w:rsidRDefault="009106EE" w:rsidP="008267E7">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C50867">
        <w:rPr>
          <w:rFonts w:asciiTheme="majorBidi" w:eastAsia="Times New Roman" w:hAnsiTheme="majorBidi" w:cstheme="majorBidi"/>
          <w:sz w:val="24"/>
          <w:szCs w:val="24"/>
        </w:rPr>
        <w:t xml:space="preserve">Percentage of </w:t>
      </w:r>
      <w:r w:rsidR="008267E7" w:rsidRPr="00C50867">
        <w:rPr>
          <w:rFonts w:asciiTheme="majorBidi" w:eastAsia="Times New Roman" w:hAnsiTheme="majorBidi" w:cstheme="majorBidi"/>
          <w:sz w:val="24"/>
          <w:szCs w:val="24"/>
        </w:rPr>
        <w:t>unemployed population in Palestine</w:t>
      </w:r>
      <w:r w:rsidRPr="00C50867">
        <w:rPr>
          <w:rFonts w:asciiTheme="majorBidi" w:eastAsia="Times New Roman" w:hAnsiTheme="majorBidi" w:cstheme="majorBidi"/>
          <w:sz w:val="24"/>
          <w:szCs w:val="24"/>
        </w:rPr>
        <w:t>.</w:t>
      </w:r>
    </w:p>
    <w:p w14:paraId="464B20EC" w14:textId="40069746" w:rsidR="009106EE" w:rsidRPr="00C50867" w:rsidRDefault="009106EE" w:rsidP="00342B17">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C50867">
        <w:rPr>
          <w:rFonts w:asciiTheme="majorBidi" w:eastAsia="Times New Roman" w:hAnsiTheme="majorBidi" w:cstheme="majorBidi"/>
          <w:sz w:val="24"/>
          <w:szCs w:val="24"/>
        </w:rPr>
        <w:t xml:space="preserve">Percentage of </w:t>
      </w:r>
      <w:r w:rsidR="00C50867" w:rsidRPr="00C50867">
        <w:rPr>
          <w:rFonts w:asciiTheme="majorBidi" w:eastAsia="Times New Roman" w:hAnsiTheme="majorBidi" w:cstheme="majorBidi"/>
          <w:sz w:val="24"/>
          <w:szCs w:val="24"/>
        </w:rPr>
        <w:t xml:space="preserve">population </w:t>
      </w:r>
      <w:r w:rsidR="00342B17">
        <w:rPr>
          <w:rFonts w:asciiTheme="majorBidi" w:eastAsia="Times New Roman" w:hAnsiTheme="majorBidi" w:cstheme="majorBidi"/>
          <w:sz w:val="24"/>
          <w:szCs w:val="24"/>
        </w:rPr>
        <w:t>inside</w:t>
      </w:r>
      <w:r w:rsidR="00C50867" w:rsidRPr="00C50867">
        <w:rPr>
          <w:rFonts w:asciiTheme="majorBidi" w:eastAsia="Times New Roman" w:hAnsiTheme="majorBidi" w:cstheme="majorBidi"/>
          <w:sz w:val="24"/>
          <w:szCs w:val="24"/>
        </w:rPr>
        <w:t xml:space="preserve"> labor force in Palestine</w:t>
      </w:r>
      <w:r w:rsidRPr="00C50867">
        <w:rPr>
          <w:rFonts w:asciiTheme="majorBidi" w:eastAsia="Times New Roman" w:hAnsiTheme="majorBidi" w:cstheme="majorBidi"/>
          <w:sz w:val="24"/>
          <w:szCs w:val="24"/>
        </w:rPr>
        <w:t>.</w:t>
      </w:r>
    </w:p>
    <w:p w14:paraId="6DE974FD" w14:textId="73427693" w:rsidR="009106EE" w:rsidRPr="00C50867" w:rsidRDefault="00C50867" w:rsidP="0057034B">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C50867">
        <w:rPr>
          <w:rFonts w:asciiTheme="majorBidi" w:eastAsia="Times New Roman" w:hAnsiTheme="majorBidi" w:cstheme="majorBidi"/>
          <w:sz w:val="24"/>
          <w:szCs w:val="24"/>
        </w:rPr>
        <w:t>Percentage of population working in construction in Palestine</w:t>
      </w:r>
      <w:r w:rsidR="009106EE" w:rsidRPr="00C50867">
        <w:rPr>
          <w:rFonts w:asciiTheme="majorBidi" w:eastAsia="Times New Roman" w:hAnsiTheme="majorBidi" w:cstheme="majorBidi"/>
          <w:sz w:val="24"/>
          <w:szCs w:val="24"/>
        </w:rPr>
        <w:t>.</w:t>
      </w:r>
    </w:p>
    <w:p w14:paraId="3BA7A355" w14:textId="43F20AF6" w:rsidR="00C50867" w:rsidRPr="00C50867" w:rsidRDefault="00C50867" w:rsidP="0057034B">
      <w:pPr>
        <w:pStyle w:val="ListParagraph"/>
        <w:numPr>
          <w:ilvl w:val="0"/>
          <w:numId w:val="22"/>
        </w:numPr>
        <w:tabs>
          <w:tab w:val="left" w:pos="720"/>
        </w:tabs>
        <w:spacing w:line="240" w:lineRule="auto"/>
        <w:jc w:val="both"/>
        <w:rPr>
          <w:rFonts w:asciiTheme="majorBidi" w:eastAsia="Times New Roman" w:hAnsiTheme="majorBidi" w:cstheme="majorBidi"/>
          <w:sz w:val="24"/>
          <w:szCs w:val="24"/>
        </w:rPr>
      </w:pPr>
      <w:r w:rsidRPr="00C50867">
        <w:rPr>
          <w:rFonts w:asciiTheme="majorBidi" w:eastAsia="Times New Roman" w:hAnsiTheme="majorBidi" w:cstheme="majorBidi"/>
          <w:sz w:val="24"/>
          <w:szCs w:val="24"/>
        </w:rPr>
        <w:t>Percentage of wage employee in Palestine.</w:t>
      </w:r>
    </w:p>
    <w:p w14:paraId="35EF698F" w14:textId="53687C98" w:rsidR="00342B17" w:rsidRDefault="00E5735B" w:rsidP="00300C52">
      <w:p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The value of computed </w:t>
      </w:r>
      <w:r w:rsidR="00300C52" w:rsidRPr="00E85BBA">
        <w:rPr>
          <w:rFonts w:asciiTheme="majorBidi" w:eastAsia="Times New Roman" w:hAnsiTheme="majorBidi" w:cstheme="majorBidi"/>
          <w:sz w:val="24"/>
          <w:szCs w:val="24"/>
        </w:rPr>
        <w:t>CV</w:t>
      </w:r>
      <w:r w:rsidR="00300C52">
        <w:rPr>
          <w:rFonts w:asciiTheme="majorBidi" w:eastAsia="Times New Roman" w:hAnsiTheme="majorBidi" w:cstheme="majorBidi"/>
          <w:sz w:val="24"/>
          <w:szCs w:val="24"/>
        </w:rPr>
        <w:t>s</w:t>
      </w:r>
      <w:r w:rsidR="00300C52" w:rsidRPr="00E85BBA">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 xml:space="preserve">for the </w:t>
      </w:r>
      <w:r w:rsidR="00300C52">
        <w:rPr>
          <w:rFonts w:asciiTheme="majorBidi" w:eastAsia="Times New Roman" w:hAnsiTheme="majorBidi" w:cstheme="majorBidi"/>
          <w:sz w:val="24"/>
          <w:szCs w:val="24"/>
        </w:rPr>
        <w:t xml:space="preserve">above </w:t>
      </w:r>
      <w:r w:rsidRPr="00E85BBA">
        <w:rPr>
          <w:rFonts w:asciiTheme="majorBidi" w:eastAsia="Times New Roman" w:hAnsiTheme="majorBidi" w:cstheme="majorBidi"/>
          <w:sz w:val="24"/>
          <w:szCs w:val="24"/>
        </w:rPr>
        <w:t xml:space="preserve">key indicators </w:t>
      </w:r>
      <w:r w:rsidR="00300C52">
        <w:rPr>
          <w:rFonts w:asciiTheme="majorBidi" w:eastAsia="Times New Roman" w:hAnsiTheme="majorBidi" w:cstheme="majorBidi"/>
          <w:sz w:val="24"/>
          <w:szCs w:val="24"/>
        </w:rPr>
        <w:t>are as follow:</w:t>
      </w:r>
    </w:p>
    <w:p w14:paraId="558A923D" w14:textId="68BAA4BE" w:rsidR="00787BF3" w:rsidRPr="00634163" w:rsidRDefault="00787BF3" w:rsidP="00787BF3">
      <w:pPr>
        <w:tabs>
          <w:tab w:val="left" w:pos="720"/>
        </w:tabs>
        <w:spacing w:line="240" w:lineRule="auto"/>
        <w:jc w:val="center"/>
        <w:rPr>
          <w:rFonts w:asciiTheme="majorBidi" w:eastAsia="Times New Roman" w:hAnsiTheme="majorBidi" w:cstheme="majorBidi"/>
        </w:rPr>
      </w:pPr>
      <w:r w:rsidRPr="00634163">
        <w:rPr>
          <w:rFonts w:asciiTheme="majorBidi" w:eastAsia="Times New Roman" w:hAnsiTheme="majorBidi" w:cstheme="majorBidi"/>
          <w:b/>
          <w:bCs/>
        </w:rPr>
        <w:t xml:space="preserve">Table 1: </w:t>
      </w:r>
      <w:r w:rsidRPr="00634163">
        <w:rPr>
          <w:rFonts w:asciiTheme="majorBidi" w:eastAsia="Times New Roman" w:hAnsiTheme="majorBidi" w:cstheme="majorBidi"/>
        </w:rPr>
        <w:t>Computed CVs of Labor Force Survey</w:t>
      </w:r>
    </w:p>
    <w:tbl>
      <w:tblPr>
        <w:tblStyle w:val="GridTable4-Accent6"/>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268"/>
        <w:gridCol w:w="1994"/>
      </w:tblGrid>
      <w:tr w:rsidR="00425508" w:rsidRPr="00E85BBA" w14:paraId="6FA71D74" w14:textId="77777777" w:rsidTr="0042550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8" w:type="dxa"/>
            <w:vAlign w:val="center"/>
            <w:hideMark/>
          </w:tcPr>
          <w:p w14:paraId="3F59EE75" w14:textId="6F988691" w:rsidR="00300C52" w:rsidRPr="00787BF3" w:rsidRDefault="00787BF3" w:rsidP="00787BF3">
            <w:pPr>
              <w:tabs>
                <w:tab w:val="left" w:pos="720"/>
              </w:tabs>
              <w:jc w:val="center"/>
              <w:rPr>
                <w:rFonts w:asciiTheme="majorBidi" w:eastAsia="Times New Roman" w:hAnsiTheme="majorBidi" w:cstheme="majorBidi"/>
                <w:sz w:val="18"/>
                <w:szCs w:val="18"/>
              </w:rPr>
            </w:pPr>
            <w:r w:rsidRPr="00787BF3">
              <w:rPr>
                <w:rFonts w:asciiTheme="majorBidi" w:eastAsia="Times New Roman" w:hAnsiTheme="majorBidi" w:cstheme="majorBidi"/>
                <w:sz w:val="18"/>
                <w:szCs w:val="18"/>
              </w:rPr>
              <w:t>key indicators</w:t>
            </w:r>
          </w:p>
        </w:tc>
        <w:tc>
          <w:tcPr>
            <w:tcW w:w="2268" w:type="dxa"/>
            <w:vAlign w:val="center"/>
          </w:tcPr>
          <w:p w14:paraId="781DC42F" w14:textId="7D16F526" w:rsidR="00300C52" w:rsidRPr="0066707B" w:rsidRDefault="00DA2BC8" w:rsidP="002112CE">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18"/>
                <w:szCs w:val="18"/>
                <w:rtl/>
              </w:rPr>
            </w:pPr>
            <w:r>
              <w:rPr>
                <w:rFonts w:asciiTheme="majorBidi" w:eastAsia="Times New Roman" w:hAnsiTheme="majorBidi" w:cstheme="majorBidi"/>
                <w:sz w:val="18"/>
                <w:szCs w:val="18"/>
              </w:rPr>
              <w:t>LFS</w:t>
            </w:r>
            <w:r w:rsidR="00300C52">
              <w:rPr>
                <w:rFonts w:asciiTheme="majorBidi" w:eastAsia="Times New Roman" w:hAnsiTheme="majorBidi" w:cstheme="majorBidi"/>
                <w:sz w:val="18"/>
                <w:szCs w:val="18"/>
              </w:rPr>
              <w:t xml:space="preserve"> 2019</w:t>
            </w:r>
            <w:r w:rsidR="00300C52" w:rsidRPr="0066707B">
              <w:rPr>
                <w:rFonts w:asciiTheme="majorBidi" w:eastAsia="Times New Roman" w:hAnsiTheme="majorBidi" w:cstheme="majorBidi"/>
                <w:sz w:val="18"/>
                <w:szCs w:val="18"/>
              </w:rPr>
              <w:t xml:space="preserve"> </w:t>
            </w:r>
          </w:p>
        </w:tc>
        <w:tc>
          <w:tcPr>
            <w:tcW w:w="1994" w:type="dxa"/>
            <w:vAlign w:val="center"/>
          </w:tcPr>
          <w:p w14:paraId="28FC3C6E" w14:textId="5402EF17" w:rsidR="00300C52" w:rsidRPr="0066707B" w:rsidRDefault="00DA2BC8" w:rsidP="002112CE">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18"/>
                <w:szCs w:val="18"/>
                <w:rtl/>
              </w:rPr>
            </w:pPr>
            <w:r>
              <w:rPr>
                <w:rFonts w:asciiTheme="majorBidi" w:eastAsia="Times New Roman" w:hAnsiTheme="majorBidi" w:cstheme="majorBidi"/>
                <w:sz w:val="18"/>
                <w:szCs w:val="18"/>
              </w:rPr>
              <w:t>LFS</w:t>
            </w:r>
            <w:r w:rsidR="00300C52">
              <w:rPr>
                <w:rFonts w:asciiTheme="majorBidi" w:eastAsia="Times New Roman" w:hAnsiTheme="majorBidi" w:cstheme="majorBidi"/>
                <w:sz w:val="18"/>
                <w:szCs w:val="18"/>
              </w:rPr>
              <w:t xml:space="preserve"> 2020</w:t>
            </w:r>
          </w:p>
        </w:tc>
      </w:tr>
      <w:tr w:rsidR="00787BF3" w:rsidRPr="00E85BBA" w14:paraId="5E127687" w14:textId="77777777" w:rsidTr="0042550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21CEA4" w14:textId="33E5BFDE" w:rsidR="00787BF3" w:rsidRPr="00787BF3" w:rsidRDefault="00787BF3" w:rsidP="00787BF3">
            <w:pPr>
              <w:tabs>
                <w:tab w:val="left" w:pos="720"/>
              </w:tabs>
              <w:rPr>
                <w:rFonts w:asciiTheme="majorBidi" w:eastAsia="Times New Roman" w:hAnsiTheme="majorBidi" w:cstheme="majorBidi"/>
                <w:b w:val="0"/>
                <w:bCs w:val="0"/>
                <w:sz w:val="18"/>
                <w:szCs w:val="18"/>
              </w:rPr>
            </w:pPr>
            <w:r w:rsidRPr="00787BF3">
              <w:rPr>
                <w:rFonts w:asciiTheme="majorBidi" w:eastAsia="Times New Roman" w:hAnsiTheme="majorBidi" w:cstheme="majorBidi"/>
                <w:b w:val="0"/>
                <w:bCs w:val="0"/>
                <w:sz w:val="18"/>
                <w:szCs w:val="18"/>
              </w:rPr>
              <w:t>Percentage of employed population in Palestine.</w:t>
            </w:r>
          </w:p>
        </w:tc>
        <w:tc>
          <w:tcPr>
            <w:tcW w:w="2268" w:type="dxa"/>
            <w:vAlign w:val="center"/>
          </w:tcPr>
          <w:p w14:paraId="2101722D" w14:textId="2036B7DB" w:rsidR="00787BF3" w:rsidRPr="00CA3C42" w:rsidRDefault="00425508" w:rsidP="00787BF3">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tl/>
              </w:rPr>
            </w:pPr>
            <w:r>
              <w:rPr>
                <w:rFonts w:asciiTheme="majorBidi" w:eastAsia="Times New Roman" w:hAnsiTheme="majorBidi" w:cstheme="majorBidi"/>
                <w:sz w:val="18"/>
                <w:szCs w:val="18"/>
              </w:rPr>
              <w:t>0.7</w:t>
            </w:r>
          </w:p>
        </w:tc>
        <w:tc>
          <w:tcPr>
            <w:tcW w:w="1994" w:type="dxa"/>
            <w:vAlign w:val="center"/>
          </w:tcPr>
          <w:p w14:paraId="4F85E0EB" w14:textId="023DF719" w:rsidR="00787BF3" w:rsidRPr="00CA3C42" w:rsidRDefault="00425508" w:rsidP="00787BF3">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Pr>
                <w:rFonts w:asciiTheme="majorBidi" w:eastAsia="Times New Roman" w:hAnsiTheme="majorBidi" w:cstheme="majorBidi"/>
                <w:sz w:val="18"/>
                <w:szCs w:val="18"/>
              </w:rPr>
              <w:t>0.6</w:t>
            </w:r>
          </w:p>
        </w:tc>
      </w:tr>
      <w:tr w:rsidR="00787BF3" w:rsidRPr="00E85BBA" w14:paraId="7C823DBE" w14:textId="77777777" w:rsidTr="00425508">
        <w:trPr>
          <w:trHeight w:val="340"/>
        </w:trPr>
        <w:tc>
          <w:tcPr>
            <w:cnfStyle w:val="001000000000" w:firstRow="0" w:lastRow="0" w:firstColumn="1" w:lastColumn="0" w:oddVBand="0" w:evenVBand="0" w:oddHBand="0" w:evenHBand="0" w:firstRowFirstColumn="0" w:firstRowLastColumn="0" w:lastRowFirstColumn="0" w:lastRowLastColumn="0"/>
            <w:tcW w:w="5098" w:type="dxa"/>
            <w:shd w:val="clear" w:color="auto" w:fill="FFFFFF" w:themeFill="background1"/>
            <w:vAlign w:val="center"/>
          </w:tcPr>
          <w:p w14:paraId="3634AB12" w14:textId="0FFE7F2A" w:rsidR="00787BF3" w:rsidRPr="00787BF3" w:rsidRDefault="00787BF3" w:rsidP="00787BF3">
            <w:pPr>
              <w:tabs>
                <w:tab w:val="left" w:pos="720"/>
              </w:tabs>
              <w:rPr>
                <w:rFonts w:asciiTheme="majorBidi" w:eastAsia="Times New Roman" w:hAnsiTheme="majorBidi" w:cstheme="majorBidi"/>
                <w:b w:val="0"/>
                <w:bCs w:val="0"/>
                <w:sz w:val="18"/>
                <w:szCs w:val="18"/>
              </w:rPr>
            </w:pPr>
            <w:r w:rsidRPr="00787BF3">
              <w:rPr>
                <w:rFonts w:asciiTheme="majorBidi" w:eastAsia="Times New Roman" w:hAnsiTheme="majorBidi" w:cstheme="majorBidi"/>
                <w:b w:val="0"/>
                <w:bCs w:val="0"/>
                <w:sz w:val="18"/>
                <w:szCs w:val="18"/>
              </w:rPr>
              <w:t>Percentage of unemployed population in Palestine.</w:t>
            </w:r>
          </w:p>
        </w:tc>
        <w:tc>
          <w:tcPr>
            <w:tcW w:w="2268" w:type="dxa"/>
            <w:shd w:val="clear" w:color="auto" w:fill="FFFFFF" w:themeFill="background1"/>
            <w:vAlign w:val="center"/>
          </w:tcPr>
          <w:p w14:paraId="1D939A72" w14:textId="3583AADD" w:rsidR="00787BF3" w:rsidRPr="00425508" w:rsidRDefault="00425508" w:rsidP="00787BF3">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1.9</w:t>
            </w:r>
          </w:p>
        </w:tc>
        <w:tc>
          <w:tcPr>
            <w:tcW w:w="1994" w:type="dxa"/>
            <w:shd w:val="clear" w:color="auto" w:fill="FFFFFF" w:themeFill="background1"/>
            <w:vAlign w:val="center"/>
          </w:tcPr>
          <w:p w14:paraId="4298D723" w14:textId="61B7CEC3" w:rsidR="00787BF3" w:rsidRPr="00425508" w:rsidRDefault="00425508" w:rsidP="00787BF3">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1.7</w:t>
            </w:r>
          </w:p>
        </w:tc>
      </w:tr>
      <w:tr w:rsidR="00787BF3" w:rsidRPr="00E85BBA" w14:paraId="65C8AD49" w14:textId="77777777" w:rsidTr="0042550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5DB6E5D" w14:textId="31612016" w:rsidR="00787BF3" w:rsidRPr="00787BF3" w:rsidRDefault="00787BF3" w:rsidP="00787BF3">
            <w:pPr>
              <w:tabs>
                <w:tab w:val="left" w:pos="720"/>
              </w:tabs>
              <w:rPr>
                <w:rFonts w:asciiTheme="majorBidi" w:eastAsia="Times New Roman" w:hAnsiTheme="majorBidi" w:cstheme="majorBidi"/>
                <w:b w:val="0"/>
                <w:bCs w:val="0"/>
                <w:sz w:val="18"/>
                <w:szCs w:val="18"/>
              </w:rPr>
            </w:pPr>
            <w:r w:rsidRPr="00787BF3">
              <w:rPr>
                <w:rFonts w:asciiTheme="majorBidi" w:eastAsia="Times New Roman" w:hAnsiTheme="majorBidi" w:cstheme="majorBidi"/>
                <w:b w:val="0"/>
                <w:bCs w:val="0"/>
                <w:sz w:val="18"/>
                <w:szCs w:val="18"/>
              </w:rPr>
              <w:t>Percentage of population inside labor force in Palestine.</w:t>
            </w:r>
          </w:p>
        </w:tc>
        <w:tc>
          <w:tcPr>
            <w:tcW w:w="2268" w:type="dxa"/>
            <w:vAlign w:val="center"/>
          </w:tcPr>
          <w:p w14:paraId="1E25912C" w14:textId="4B92B660" w:rsidR="00787BF3" w:rsidRPr="00425508" w:rsidRDefault="00425508" w:rsidP="00787BF3">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0.6</w:t>
            </w:r>
          </w:p>
        </w:tc>
        <w:tc>
          <w:tcPr>
            <w:tcW w:w="1994" w:type="dxa"/>
            <w:vAlign w:val="center"/>
          </w:tcPr>
          <w:p w14:paraId="223EFEFB" w14:textId="05DFA2A8" w:rsidR="00787BF3" w:rsidRPr="00425508" w:rsidRDefault="00425508" w:rsidP="00787BF3">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0.7</w:t>
            </w:r>
          </w:p>
        </w:tc>
      </w:tr>
      <w:tr w:rsidR="00787BF3" w:rsidRPr="00E85BBA" w14:paraId="41135F1C" w14:textId="77777777" w:rsidTr="00425508">
        <w:trPr>
          <w:trHeight w:val="340"/>
        </w:trPr>
        <w:tc>
          <w:tcPr>
            <w:cnfStyle w:val="001000000000" w:firstRow="0" w:lastRow="0" w:firstColumn="1" w:lastColumn="0" w:oddVBand="0" w:evenVBand="0" w:oddHBand="0" w:evenHBand="0" w:firstRowFirstColumn="0" w:firstRowLastColumn="0" w:lastRowFirstColumn="0" w:lastRowLastColumn="0"/>
            <w:tcW w:w="5098" w:type="dxa"/>
            <w:shd w:val="clear" w:color="auto" w:fill="FFFFFF" w:themeFill="background1"/>
            <w:vAlign w:val="center"/>
          </w:tcPr>
          <w:p w14:paraId="5EACBC02" w14:textId="7618BDD0" w:rsidR="00787BF3" w:rsidRPr="00787BF3" w:rsidRDefault="00787BF3" w:rsidP="00787BF3">
            <w:pPr>
              <w:tabs>
                <w:tab w:val="left" w:pos="720"/>
              </w:tabs>
              <w:rPr>
                <w:rFonts w:asciiTheme="majorBidi" w:eastAsia="Times New Roman" w:hAnsiTheme="majorBidi" w:cstheme="majorBidi"/>
                <w:b w:val="0"/>
                <w:bCs w:val="0"/>
                <w:sz w:val="18"/>
                <w:szCs w:val="18"/>
              </w:rPr>
            </w:pPr>
            <w:r w:rsidRPr="00787BF3">
              <w:rPr>
                <w:rFonts w:asciiTheme="majorBidi" w:eastAsia="Times New Roman" w:hAnsiTheme="majorBidi" w:cstheme="majorBidi"/>
                <w:b w:val="0"/>
                <w:bCs w:val="0"/>
                <w:sz w:val="18"/>
                <w:szCs w:val="18"/>
              </w:rPr>
              <w:t>Percentage of population working in construction in Palestine.</w:t>
            </w:r>
          </w:p>
        </w:tc>
        <w:tc>
          <w:tcPr>
            <w:tcW w:w="2268" w:type="dxa"/>
            <w:shd w:val="clear" w:color="auto" w:fill="FFFFFF" w:themeFill="background1"/>
            <w:vAlign w:val="center"/>
          </w:tcPr>
          <w:p w14:paraId="23B5878C" w14:textId="460F8A6F" w:rsidR="00787BF3" w:rsidRPr="00425508" w:rsidRDefault="00425508" w:rsidP="00787BF3">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3.8</w:t>
            </w:r>
          </w:p>
        </w:tc>
        <w:tc>
          <w:tcPr>
            <w:tcW w:w="1994" w:type="dxa"/>
            <w:shd w:val="clear" w:color="auto" w:fill="FFFFFF" w:themeFill="background1"/>
            <w:vAlign w:val="center"/>
          </w:tcPr>
          <w:p w14:paraId="061DD224" w14:textId="17D99DA2" w:rsidR="00787BF3" w:rsidRPr="00425508" w:rsidRDefault="00425508" w:rsidP="00787BF3">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4.0</w:t>
            </w:r>
          </w:p>
        </w:tc>
      </w:tr>
      <w:tr w:rsidR="00787BF3" w:rsidRPr="00E85BBA" w14:paraId="205D7F67" w14:textId="77777777" w:rsidTr="0042550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414068F" w14:textId="2E36BBE4" w:rsidR="00787BF3" w:rsidRPr="00787BF3" w:rsidRDefault="00787BF3" w:rsidP="00787BF3">
            <w:pPr>
              <w:tabs>
                <w:tab w:val="left" w:pos="720"/>
              </w:tabs>
              <w:rPr>
                <w:rFonts w:asciiTheme="majorBidi" w:eastAsia="Times New Roman" w:hAnsiTheme="majorBidi" w:cstheme="majorBidi"/>
                <w:b w:val="0"/>
                <w:bCs w:val="0"/>
                <w:sz w:val="18"/>
                <w:szCs w:val="18"/>
              </w:rPr>
            </w:pPr>
            <w:r w:rsidRPr="00787BF3">
              <w:rPr>
                <w:rFonts w:asciiTheme="majorBidi" w:eastAsia="Times New Roman" w:hAnsiTheme="majorBidi" w:cstheme="majorBidi"/>
                <w:b w:val="0"/>
                <w:bCs w:val="0"/>
                <w:sz w:val="18"/>
                <w:szCs w:val="18"/>
              </w:rPr>
              <w:t>Percentage of wage employee in Palestine.</w:t>
            </w:r>
          </w:p>
        </w:tc>
        <w:tc>
          <w:tcPr>
            <w:tcW w:w="2268" w:type="dxa"/>
            <w:vAlign w:val="center"/>
          </w:tcPr>
          <w:p w14:paraId="4F4C7C02" w14:textId="76C5AEBC" w:rsidR="00787BF3" w:rsidRPr="00425508" w:rsidRDefault="00425508" w:rsidP="00787BF3">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0.9</w:t>
            </w:r>
          </w:p>
        </w:tc>
        <w:tc>
          <w:tcPr>
            <w:tcW w:w="1994" w:type="dxa"/>
            <w:vAlign w:val="center"/>
          </w:tcPr>
          <w:p w14:paraId="443E2D52" w14:textId="1C5D8F86" w:rsidR="00787BF3" w:rsidRPr="00425508" w:rsidRDefault="00425508" w:rsidP="00787BF3">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25508">
              <w:rPr>
                <w:rFonts w:asciiTheme="majorBidi" w:hAnsiTheme="majorBidi" w:cstheme="majorBidi"/>
                <w:color w:val="000000"/>
                <w:sz w:val="18"/>
                <w:szCs w:val="18"/>
              </w:rPr>
              <w:t>1.0</w:t>
            </w:r>
          </w:p>
        </w:tc>
      </w:tr>
    </w:tbl>
    <w:p w14:paraId="3601C264" w14:textId="602161AA" w:rsidR="00300C52" w:rsidRDefault="00B10BAC" w:rsidP="00300C52">
      <w:pPr>
        <w:tabs>
          <w:tab w:val="left" w:pos="720"/>
        </w:tabs>
        <w:spacing w:line="240" w:lineRule="auto"/>
        <w:jc w:val="both"/>
        <w:rPr>
          <w:rFonts w:asciiTheme="majorBidi" w:eastAsia="Times New Roman" w:hAnsiTheme="majorBidi" w:cstheme="majorBidi"/>
          <w:sz w:val="24"/>
          <w:szCs w:val="24"/>
        </w:rPr>
      </w:pPr>
      <w:r w:rsidRPr="00B10BAC">
        <w:rPr>
          <w:rFonts w:asciiTheme="majorBidi" w:eastAsia="Times New Roman" w:hAnsiTheme="majorBidi" w:cstheme="majorBidi"/>
          <w:sz w:val="16"/>
          <w:szCs w:val="16"/>
        </w:rPr>
        <w:t>Source:</w:t>
      </w:r>
      <w:r>
        <w:rPr>
          <w:rFonts w:asciiTheme="majorBidi" w:eastAsia="Times New Roman" w:hAnsiTheme="majorBidi" w:cstheme="majorBidi"/>
          <w:sz w:val="24"/>
          <w:szCs w:val="24"/>
        </w:rPr>
        <w:t xml:space="preserve"> </w:t>
      </w:r>
      <w:r w:rsidRPr="00C919F0">
        <w:rPr>
          <w:rFonts w:asciiTheme="majorBidi" w:hAnsiTheme="majorBidi" w:cstheme="majorBidi"/>
          <w:sz w:val="16"/>
          <w:szCs w:val="16"/>
        </w:rPr>
        <w:t>Palestinian Labor Force Survey - Annual Report: 2019</w:t>
      </w:r>
      <w:r>
        <w:rPr>
          <w:rFonts w:asciiTheme="majorBidi" w:hAnsiTheme="majorBidi" w:cstheme="majorBidi"/>
          <w:sz w:val="16"/>
          <w:szCs w:val="16"/>
        </w:rPr>
        <w:t>, 2020</w:t>
      </w:r>
    </w:p>
    <w:p w14:paraId="2D734694" w14:textId="3CB1544A" w:rsidR="006021F8" w:rsidRDefault="006021F8" w:rsidP="0057034B">
      <w:pPr>
        <w:tabs>
          <w:tab w:val="left" w:pos="720"/>
        </w:tabs>
        <w:spacing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lastRenderedPageBreak/>
        <w:t xml:space="preserve">Out of those results, one can notice that the value of the CV’s for </w:t>
      </w:r>
      <w:r w:rsidR="006F38F5">
        <w:rPr>
          <w:rFonts w:asciiTheme="majorBidi" w:eastAsia="Times New Roman" w:hAnsiTheme="majorBidi" w:cstheme="majorBidi"/>
          <w:sz w:val="24"/>
          <w:szCs w:val="24"/>
        </w:rPr>
        <w:t xml:space="preserve">the mentioned </w:t>
      </w:r>
      <w:r w:rsidRPr="00E85BBA">
        <w:rPr>
          <w:rFonts w:asciiTheme="majorBidi" w:eastAsia="Times New Roman" w:hAnsiTheme="majorBidi" w:cstheme="majorBidi"/>
          <w:sz w:val="24"/>
          <w:szCs w:val="24"/>
        </w:rPr>
        <w:t>survey</w:t>
      </w:r>
      <w:r w:rsidR="006F38F5">
        <w:rPr>
          <w:rFonts w:asciiTheme="majorBidi" w:eastAsia="Times New Roman" w:hAnsiTheme="majorBidi" w:cstheme="majorBidi"/>
          <w:sz w:val="24"/>
          <w:szCs w:val="24"/>
        </w:rPr>
        <w:t>s</w:t>
      </w:r>
      <w:r w:rsidRPr="00E85BBA">
        <w:rPr>
          <w:rFonts w:asciiTheme="majorBidi" w:eastAsia="Times New Roman" w:hAnsiTheme="majorBidi" w:cstheme="majorBidi"/>
          <w:sz w:val="24"/>
          <w:szCs w:val="24"/>
        </w:rPr>
        <w:t xml:space="preserve"> lies within a</w:t>
      </w:r>
      <w:r w:rsidR="006F38F5">
        <w:rPr>
          <w:rFonts w:asciiTheme="majorBidi" w:eastAsia="Times New Roman" w:hAnsiTheme="majorBidi" w:cstheme="majorBidi"/>
          <w:sz w:val="24"/>
          <w:szCs w:val="24"/>
        </w:rPr>
        <w:t>n</w:t>
      </w:r>
      <w:r w:rsidRPr="00E85BBA">
        <w:rPr>
          <w:rFonts w:asciiTheme="majorBidi" w:eastAsia="Times New Roman" w:hAnsiTheme="majorBidi" w:cstheme="majorBidi"/>
          <w:sz w:val="24"/>
          <w:szCs w:val="24"/>
        </w:rPr>
        <w:t xml:space="preserve"> </w:t>
      </w:r>
      <w:r w:rsidR="006F38F5">
        <w:rPr>
          <w:rFonts w:asciiTheme="majorBidi" w:eastAsia="Times New Roman" w:hAnsiTheme="majorBidi" w:cstheme="majorBidi"/>
          <w:sz w:val="24"/>
          <w:szCs w:val="24"/>
        </w:rPr>
        <w:t>acceptable</w:t>
      </w:r>
      <w:r w:rsidRPr="00E85BBA">
        <w:rPr>
          <w:rFonts w:asciiTheme="majorBidi" w:eastAsia="Times New Roman" w:hAnsiTheme="majorBidi" w:cstheme="majorBidi"/>
          <w:sz w:val="24"/>
          <w:szCs w:val="24"/>
        </w:rPr>
        <w:t xml:space="preserve"> range</w:t>
      </w:r>
      <w:r w:rsidR="00D26F69">
        <w:rPr>
          <w:rFonts w:asciiTheme="majorBidi" w:eastAsia="Times New Roman" w:hAnsiTheme="majorBidi" w:cstheme="majorBidi"/>
          <w:sz w:val="24"/>
          <w:szCs w:val="24"/>
        </w:rPr>
        <w:t xml:space="preserve"> (</w:t>
      </w:r>
      <w:r w:rsidR="00D26F69" w:rsidRPr="00122F8D">
        <w:rPr>
          <w:rFonts w:asciiTheme="majorBidi" w:eastAsia="Times New Roman" w:hAnsiTheme="majorBidi" w:cstheme="majorBidi"/>
          <w:sz w:val="24"/>
          <w:szCs w:val="24"/>
        </w:rPr>
        <w:t>Survey Data</w:t>
      </w:r>
      <w:r w:rsidR="00D26F69">
        <w:rPr>
          <w:rFonts w:asciiTheme="majorBidi" w:eastAsia="Times New Roman" w:hAnsiTheme="majorBidi" w:cstheme="majorBidi"/>
          <w:sz w:val="24"/>
          <w:szCs w:val="24"/>
        </w:rPr>
        <w:t xml:space="preserve"> </w:t>
      </w:r>
      <w:r w:rsidR="00D26F69" w:rsidRPr="00122F8D">
        <w:rPr>
          <w:rFonts w:asciiTheme="majorBidi" w:eastAsia="Times New Roman" w:hAnsiTheme="majorBidi" w:cstheme="majorBidi"/>
          <w:sz w:val="24"/>
          <w:szCs w:val="24"/>
        </w:rPr>
        <w:t>Interpretation Guide</w:t>
      </w:r>
      <w:r w:rsidR="00D26F69">
        <w:rPr>
          <w:rFonts w:asciiTheme="majorBidi" w:eastAsia="Times New Roman" w:hAnsiTheme="majorBidi" w:cstheme="majorBidi"/>
          <w:sz w:val="24"/>
          <w:szCs w:val="24"/>
        </w:rPr>
        <w:t>)</w:t>
      </w:r>
      <w:r w:rsidR="006F38F5">
        <w:rPr>
          <w:rStyle w:val="FootnoteReference"/>
          <w:rFonts w:asciiTheme="majorBidi" w:eastAsia="Times New Roman" w:hAnsiTheme="majorBidi" w:cstheme="majorBidi"/>
          <w:sz w:val="24"/>
          <w:szCs w:val="24"/>
        </w:rPr>
        <w:footnoteReference w:id="7"/>
      </w:r>
      <w:r w:rsidR="006F38F5">
        <w:rPr>
          <w:rFonts w:asciiTheme="majorBidi" w:eastAsia="Times New Roman" w:hAnsiTheme="majorBidi" w:cstheme="majorBidi"/>
          <w:sz w:val="24"/>
          <w:szCs w:val="24"/>
        </w:rPr>
        <w:t>.</w:t>
      </w:r>
      <w:r w:rsidRPr="00E85BBA">
        <w:rPr>
          <w:rFonts w:asciiTheme="majorBidi" w:eastAsia="Times New Roman" w:hAnsiTheme="majorBidi" w:cstheme="majorBidi"/>
          <w:sz w:val="24"/>
          <w:szCs w:val="24"/>
        </w:rPr>
        <w:t xml:space="preserve"> </w:t>
      </w:r>
      <w:r w:rsidR="006F38F5">
        <w:rPr>
          <w:rFonts w:asciiTheme="majorBidi" w:eastAsia="Times New Roman" w:hAnsiTheme="majorBidi" w:cstheme="majorBidi"/>
          <w:sz w:val="24"/>
          <w:szCs w:val="24"/>
        </w:rPr>
        <w:t xml:space="preserve">This </w:t>
      </w:r>
      <w:r w:rsidR="006F38F5" w:rsidRPr="006F38F5">
        <w:rPr>
          <w:rFonts w:asciiTheme="majorBidi" w:eastAsia="Times New Roman" w:hAnsiTheme="majorBidi" w:cstheme="majorBidi"/>
          <w:sz w:val="24"/>
          <w:szCs w:val="24"/>
        </w:rPr>
        <w:t>indicates that there is relatively little variation in responses which indicates a more reliable estimate.</w:t>
      </w:r>
      <w:r w:rsidR="006F38F5">
        <w:rPr>
          <w:rFonts w:asciiTheme="majorBidi" w:eastAsia="Times New Roman" w:hAnsiTheme="majorBidi" w:cstheme="majorBidi"/>
          <w:sz w:val="24"/>
          <w:szCs w:val="24"/>
        </w:rPr>
        <w:t xml:space="preserve"> i.e. the estimates </w:t>
      </w:r>
      <w:r w:rsidR="006F38F5" w:rsidRPr="006F38F5">
        <w:rPr>
          <w:rFonts w:asciiTheme="majorBidi" w:eastAsia="Times New Roman" w:hAnsiTheme="majorBidi" w:cstheme="majorBidi"/>
          <w:sz w:val="24"/>
          <w:szCs w:val="24"/>
        </w:rPr>
        <w:t>accurately describe the population.</w:t>
      </w:r>
      <w:r w:rsidR="0057034B">
        <w:rPr>
          <w:rFonts w:asciiTheme="majorBidi" w:eastAsia="Times New Roman" w:hAnsiTheme="majorBidi" w:cstheme="majorBidi"/>
          <w:sz w:val="24"/>
          <w:szCs w:val="24"/>
        </w:rPr>
        <w:t xml:space="preserve"> This also indicates that both surveys are consistent with previous cycles despite the change in data collection mode between both surveys. </w:t>
      </w:r>
    </w:p>
    <w:p w14:paraId="3A677515" w14:textId="77777777" w:rsidR="006100D1" w:rsidRPr="00D97FF0" w:rsidRDefault="006C6EC0" w:rsidP="00D97FF0">
      <w:pPr>
        <w:spacing w:after="0" w:line="240" w:lineRule="auto"/>
        <w:jc w:val="both"/>
        <w:rPr>
          <w:rFonts w:asciiTheme="majorBidi" w:eastAsia="Times New Roman" w:hAnsiTheme="majorBidi" w:cstheme="majorBidi"/>
          <w:b/>
          <w:bCs/>
          <w:i/>
          <w:iCs/>
          <w:sz w:val="24"/>
          <w:szCs w:val="24"/>
        </w:rPr>
      </w:pPr>
      <w:r w:rsidRPr="00D97FF0">
        <w:rPr>
          <w:rFonts w:asciiTheme="majorBidi" w:eastAsia="Times New Roman" w:hAnsiTheme="majorBidi" w:cstheme="majorBidi"/>
          <w:b/>
          <w:bCs/>
          <w:i/>
          <w:iCs/>
          <w:sz w:val="24"/>
          <w:szCs w:val="24"/>
        </w:rPr>
        <w:t xml:space="preserve">The rate of over-coverage: </w:t>
      </w:r>
    </w:p>
    <w:p w14:paraId="535411F6" w14:textId="77777777" w:rsidR="00B21306" w:rsidRDefault="006100D1" w:rsidP="005A3732">
      <w:p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Coverage errors result from inadequate representation of the target population based on </w:t>
      </w:r>
      <w:r w:rsidR="00B672C4" w:rsidRPr="00E85BBA">
        <w:rPr>
          <w:rFonts w:asciiTheme="majorBidi" w:eastAsia="Times New Roman" w:hAnsiTheme="majorBidi" w:cstheme="majorBidi"/>
          <w:sz w:val="24"/>
          <w:szCs w:val="24"/>
        </w:rPr>
        <w:t>the units in the sampling frame</w:t>
      </w:r>
      <w:r w:rsidR="001C5408" w:rsidRPr="00E85BBA">
        <w:rPr>
          <w:rFonts w:asciiTheme="majorBidi" w:eastAsia="Times New Roman" w:hAnsiTheme="majorBidi" w:cstheme="majorBidi"/>
          <w:sz w:val="24"/>
          <w:szCs w:val="24"/>
        </w:rPr>
        <w:t xml:space="preserve">. </w:t>
      </w:r>
      <w:r w:rsidR="00B672C4" w:rsidRPr="00E85BBA">
        <w:rPr>
          <w:rFonts w:asciiTheme="majorBidi" w:eastAsia="Times New Roman" w:hAnsiTheme="majorBidi" w:cstheme="majorBidi"/>
          <w:sz w:val="24"/>
          <w:szCs w:val="24"/>
        </w:rPr>
        <w:t>Over-coverage occurs due to the inclusion of units that do not belong to the target population.</w:t>
      </w:r>
      <w:r w:rsidR="001C5408" w:rsidRPr="00E85BBA">
        <w:rPr>
          <w:rFonts w:asciiTheme="majorBidi" w:eastAsia="Times New Roman" w:hAnsiTheme="majorBidi" w:cstheme="majorBidi"/>
          <w:sz w:val="24"/>
          <w:szCs w:val="24"/>
        </w:rPr>
        <w:t xml:space="preserve"> </w:t>
      </w:r>
    </w:p>
    <w:p w14:paraId="169E46F6" w14:textId="77777777" w:rsidR="00B21306" w:rsidRDefault="00B21306" w:rsidP="005A3732">
      <w:pPr>
        <w:tabs>
          <w:tab w:val="left" w:pos="720"/>
        </w:tabs>
        <w:spacing w:after="0" w:line="240" w:lineRule="auto"/>
        <w:jc w:val="both"/>
        <w:rPr>
          <w:rFonts w:asciiTheme="majorBidi" w:eastAsia="Times New Roman" w:hAnsiTheme="majorBidi" w:cstheme="majorBidi"/>
          <w:sz w:val="24"/>
          <w:szCs w:val="24"/>
        </w:rPr>
      </w:pPr>
    </w:p>
    <w:p w14:paraId="2E036DE3" w14:textId="03247BB2" w:rsidR="006C6EC0" w:rsidRPr="00E85BBA" w:rsidRDefault="001C5408" w:rsidP="005A3732">
      <w:p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Factors contributing to </w:t>
      </w:r>
      <w:r w:rsidR="00FD1EAC" w:rsidRPr="00E85BBA">
        <w:rPr>
          <w:rFonts w:asciiTheme="majorBidi" w:eastAsia="Times New Roman" w:hAnsiTheme="majorBidi" w:cstheme="majorBidi"/>
          <w:sz w:val="24"/>
          <w:szCs w:val="24"/>
        </w:rPr>
        <w:t>over</w:t>
      </w:r>
      <w:r w:rsidRPr="00E85BBA">
        <w:rPr>
          <w:rFonts w:asciiTheme="majorBidi" w:eastAsia="Times New Roman" w:hAnsiTheme="majorBidi" w:cstheme="majorBidi"/>
          <w:sz w:val="24"/>
          <w:szCs w:val="24"/>
        </w:rPr>
        <w:t>-coverage</w:t>
      </w:r>
      <w:r w:rsidR="00B21306">
        <w:rPr>
          <w:rFonts w:asciiTheme="majorBidi" w:eastAsia="Times New Roman" w:hAnsiTheme="majorBidi" w:cstheme="majorBidi"/>
          <w:sz w:val="24"/>
          <w:szCs w:val="24"/>
        </w:rPr>
        <w:t xml:space="preserve"> rate</w:t>
      </w:r>
      <w:r w:rsidRPr="00E85BBA">
        <w:rPr>
          <w:rFonts w:asciiTheme="majorBidi" w:eastAsia="Times New Roman" w:hAnsiTheme="majorBidi" w:cstheme="majorBidi"/>
          <w:sz w:val="24"/>
          <w:szCs w:val="24"/>
        </w:rPr>
        <w:t xml:space="preserve"> regarding</w:t>
      </w:r>
      <w:r w:rsidR="00AC6A64">
        <w:rPr>
          <w:rFonts w:asciiTheme="majorBidi" w:eastAsia="Times New Roman" w:hAnsiTheme="majorBidi" w:cstheme="majorBidi"/>
          <w:sz w:val="24"/>
          <w:szCs w:val="24"/>
        </w:rPr>
        <w:t xml:space="preserve"> both</w:t>
      </w:r>
      <w:r w:rsidRPr="00E85BBA">
        <w:rPr>
          <w:rFonts w:asciiTheme="majorBidi" w:eastAsia="Times New Roman" w:hAnsiTheme="majorBidi" w:cstheme="majorBidi"/>
          <w:sz w:val="24"/>
          <w:szCs w:val="24"/>
        </w:rPr>
        <w:t xml:space="preserve"> COVID-19 </w:t>
      </w:r>
      <w:r w:rsidR="00AC6A64">
        <w:rPr>
          <w:rFonts w:asciiTheme="majorBidi" w:eastAsia="Times New Roman" w:hAnsiTheme="majorBidi" w:cstheme="majorBidi"/>
          <w:sz w:val="24"/>
          <w:szCs w:val="24"/>
        </w:rPr>
        <w:t xml:space="preserve">and LF </w:t>
      </w:r>
      <w:r w:rsidRPr="00E85BBA">
        <w:rPr>
          <w:rFonts w:asciiTheme="majorBidi" w:eastAsia="Times New Roman" w:hAnsiTheme="majorBidi" w:cstheme="majorBidi"/>
          <w:sz w:val="24"/>
          <w:szCs w:val="24"/>
        </w:rPr>
        <w:t>survey</w:t>
      </w:r>
      <w:r w:rsidR="00AC6A64">
        <w:rPr>
          <w:rFonts w:asciiTheme="majorBidi" w:eastAsia="Times New Roman" w:hAnsiTheme="majorBidi" w:cstheme="majorBidi"/>
          <w:sz w:val="24"/>
          <w:szCs w:val="24"/>
        </w:rPr>
        <w:t>s</w:t>
      </w:r>
      <w:r w:rsidRPr="00E85BBA">
        <w:rPr>
          <w:rFonts w:asciiTheme="majorBidi" w:eastAsia="Times New Roman" w:hAnsiTheme="majorBidi" w:cstheme="majorBidi"/>
          <w:sz w:val="24"/>
          <w:szCs w:val="24"/>
        </w:rPr>
        <w:t xml:space="preserve"> are:</w:t>
      </w:r>
    </w:p>
    <w:p w14:paraId="549B6D56" w14:textId="77777777" w:rsidR="001C5408" w:rsidRPr="00E85BBA" w:rsidRDefault="001C5408" w:rsidP="005A3732">
      <w:pPr>
        <w:pStyle w:val="ListParagraph"/>
        <w:numPr>
          <w:ilvl w:val="0"/>
          <w:numId w:val="20"/>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phone number of the household is out of service.</w:t>
      </w:r>
    </w:p>
    <w:p w14:paraId="5FB4FB3F" w14:textId="68B15A8D" w:rsidR="009F1910" w:rsidRDefault="001C5408" w:rsidP="005A3732">
      <w:pPr>
        <w:pStyle w:val="ListParagraph"/>
        <w:numPr>
          <w:ilvl w:val="0"/>
          <w:numId w:val="20"/>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phone number of the household is incorrect.</w:t>
      </w:r>
    </w:p>
    <w:p w14:paraId="5885289A" w14:textId="54417B4C" w:rsidR="006C5762" w:rsidRDefault="00D74CBB" w:rsidP="00D74CBB">
      <w:pPr>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Where t</w:t>
      </w:r>
      <w:r w:rsidR="00FD1EAC" w:rsidRPr="00E85BBA">
        <w:rPr>
          <w:rFonts w:asciiTheme="majorBidi" w:eastAsia="Times New Roman" w:hAnsiTheme="majorBidi" w:cstheme="majorBidi"/>
          <w:sz w:val="24"/>
          <w:szCs w:val="24"/>
        </w:rPr>
        <w:t>he calculated</w:t>
      </w:r>
      <w:r w:rsidR="00B672C4" w:rsidRPr="00E85BBA">
        <w:rPr>
          <w:rFonts w:asciiTheme="majorBidi" w:eastAsia="Times New Roman" w:hAnsiTheme="majorBidi" w:cstheme="majorBidi"/>
          <w:sz w:val="24"/>
          <w:szCs w:val="24"/>
        </w:rPr>
        <w:t xml:space="preserve"> over-coverage </w:t>
      </w:r>
      <w:r w:rsidR="00FD1EAC" w:rsidRPr="00E85BBA">
        <w:rPr>
          <w:rFonts w:asciiTheme="majorBidi" w:eastAsia="Times New Roman" w:hAnsiTheme="majorBidi" w:cstheme="majorBidi"/>
          <w:sz w:val="24"/>
          <w:szCs w:val="24"/>
        </w:rPr>
        <w:t>rate through</w:t>
      </w:r>
      <w:r w:rsidR="000A2D74" w:rsidRPr="00E85BBA">
        <w:rPr>
          <w:rFonts w:asciiTheme="majorBidi" w:eastAsia="Times New Roman" w:hAnsiTheme="majorBidi" w:cstheme="majorBidi"/>
          <w:sz w:val="24"/>
          <w:szCs w:val="24"/>
        </w:rPr>
        <w:t xml:space="preserve"> those factors of the total sample is considered </w:t>
      </w:r>
      <w:r w:rsidR="007A46F6" w:rsidRPr="00E85BBA">
        <w:rPr>
          <w:rFonts w:asciiTheme="majorBidi" w:eastAsia="Times New Roman" w:hAnsiTheme="majorBidi" w:cstheme="majorBidi"/>
          <w:sz w:val="24"/>
          <w:szCs w:val="24"/>
        </w:rPr>
        <w:t>an</w:t>
      </w:r>
      <w:r w:rsidR="000A2D74" w:rsidRPr="00E85BBA">
        <w:rPr>
          <w:rFonts w:asciiTheme="majorBidi" w:eastAsia="Times New Roman" w:hAnsiTheme="majorBidi" w:cstheme="majorBidi"/>
          <w:sz w:val="24"/>
          <w:szCs w:val="24"/>
        </w:rPr>
        <w:t xml:space="preserve"> estimate of the </w:t>
      </w:r>
      <w:r w:rsidR="00FD1EAC" w:rsidRPr="00E85BBA">
        <w:rPr>
          <w:rFonts w:asciiTheme="majorBidi" w:eastAsia="Times New Roman" w:hAnsiTheme="majorBidi" w:cstheme="majorBidi"/>
          <w:sz w:val="24"/>
          <w:szCs w:val="24"/>
        </w:rPr>
        <w:t xml:space="preserve">whole sample frame. </w:t>
      </w:r>
    </w:p>
    <w:p w14:paraId="4B648477" w14:textId="77777777" w:rsidR="006C5762" w:rsidRDefault="006C5762" w:rsidP="006C5762">
      <w:pPr>
        <w:tabs>
          <w:tab w:val="left" w:pos="720"/>
        </w:tabs>
        <w:spacing w:after="0" w:line="240" w:lineRule="auto"/>
        <w:jc w:val="both"/>
        <w:rPr>
          <w:rFonts w:asciiTheme="majorBidi" w:eastAsia="Times New Roman" w:hAnsiTheme="majorBidi" w:cstheme="majorBidi"/>
          <w:sz w:val="24"/>
          <w:szCs w:val="24"/>
        </w:rPr>
      </w:pPr>
    </w:p>
    <w:p w14:paraId="100E39A9" w14:textId="77777777" w:rsidR="0020191B" w:rsidRDefault="0020191B" w:rsidP="0020191B">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results are as follow:</w:t>
      </w:r>
    </w:p>
    <w:p w14:paraId="1A24E1EB" w14:textId="0CC6C098" w:rsidR="0020191B" w:rsidRDefault="0020191B" w:rsidP="0020191B">
      <w:pPr>
        <w:pStyle w:val="ListParagraph"/>
        <w:tabs>
          <w:tab w:val="left" w:pos="720"/>
        </w:tabs>
        <w:spacing w:after="0" w:line="240" w:lineRule="auto"/>
        <w:ind w:left="1200"/>
        <w:jc w:val="both"/>
        <w:rPr>
          <w:rFonts w:asciiTheme="majorBidi" w:eastAsia="Times New Roman" w:hAnsiTheme="majorBidi" w:cstheme="majorBidi"/>
          <w:sz w:val="24"/>
          <w:szCs w:val="24"/>
          <w:highlight w:val="yellow"/>
        </w:rPr>
      </w:pPr>
    </w:p>
    <w:p w14:paraId="7569DBBA" w14:textId="23F411B5" w:rsidR="0020191B" w:rsidRPr="00634163" w:rsidRDefault="0020191B" w:rsidP="00E20618">
      <w:pPr>
        <w:tabs>
          <w:tab w:val="left" w:pos="720"/>
        </w:tabs>
        <w:spacing w:line="240" w:lineRule="auto"/>
        <w:ind w:left="360"/>
        <w:jc w:val="center"/>
        <w:rPr>
          <w:rFonts w:asciiTheme="majorBidi" w:eastAsia="Times New Roman" w:hAnsiTheme="majorBidi" w:cstheme="majorBidi"/>
        </w:rPr>
      </w:pPr>
      <w:r w:rsidRPr="00634163">
        <w:rPr>
          <w:rFonts w:asciiTheme="majorBidi" w:eastAsia="Times New Roman" w:hAnsiTheme="majorBidi" w:cstheme="majorBidi"/>
          <w:b/>
          <w:bCs/>
        </w:rPr>
        <w:t xml:space="preserve">Table </w:t>
      </w:r>
      <w:r w:rsidR="00E20618">
        <w:rPr>
          <w:rFonts w:asciiTheme="majorBidi" w:eastAsia="Times New Roman" w:hAnsiTheme="majorBidi" w:cstheme="majorBidi"/>
          <w:b/>
          <w:bCs/>
        </w:rPr>
        <w:t>2</w:t>
      </w:r>
      <w:r w:rsidRPr="00634163">
        <w:rPr>
          <w:rFonts w:asciiTheme="majorBidi" w:eastAsia="Times New Roman" w:hAnsiTheme="majorBidi" w:cstheme="majorBidi"/>
        </w:rPr>
        <w:t xml:space="preserve">: </w:t>
      </w:r>
      <w:r w:rsidR="0009164E" w:rsidRPr="00634163">
        <w:rPr>
          <w:rFonts w:asciiTheme="majorBidi" w:eastAsia="Times New Roman" w:hAnsiTheme="majorBidi" w:cstheme="majorBidi"/>
        </w:rPr>
        <w:t>Over Coverage Rate</w:t>
      </w:r>
      <w:r w:rsidRPr="00634163">
        <w:rPr>
          <w:rFonts w:asciiTheme="majorBidi" w:eastAsia="Times New Roman" w:hAnsiTheme="majorBidi" w:cstheme="majorBidi"/>
        </w:rPr>
        <w:t xml:space="preserve"> </w:t>
      </w:r>
    </w:p>
    <w:tbl>
      <w:tblPr>
        <w:tblStyle w:val="GridTable4-Accent6"/>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00"/>
        <w:gridCol w:w="2795"/>
      </w:tblGrid>
      <w:tr w:rsidR="0020191B" w:rsidRPr="00E85BBA" w14:paraId="3F363185" w14:textId="77777777" w:rsidTr="009901E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88AAFB" w14:textId="2AF84196" w:rsidR="0020191B" w:rsidRPr="009901EC" w:rsidRDefault="0020191B" w:rsidP="00C61AAA">
            <w:pPr>
              <w:tabs>
                <w:tab w:val="left" w:pos="720"/>
              </w:tabs>
              <w:rPr>
                <w:rFonts w:asciiTheme="majorBidi" w:eastAsia="Times New Roman" w:hAnsiTheme="majorBidi" w:cstheme="majorBidi"/>
                <w:color w:val="auto"/>
                <w:sz w:val="18"/>
                <w:szCs w:val="18"/>
              </w:rPr>
            </w:pPr>
            <w:r w:rsidRPr="009901EC">
              <w:rPr>
                <w:rFonts w:asciiTheme="majorBidi" w:eastAsia="Times New Roman" w:hAnsiTheme="majorBidi" w:cstheme="majorBidi"/>
                <w:color w:val="auto"/>
                <w:sz w:val="18"/>
                <w:szCs w:val="18"/>
              </w:rPr>
              <w:t xml:space="preserve">COVID-19 </w:t>
            </w:r>
            <w:r w:rsidR="00C61AAA" w:rsidRPr="009901EC">
              <w:rPr>
                <w:rFonts w:asciiTheme="majorBidi" w:eastAsia="Times New Roman" w:hAnsiTheme="majorBidi" w:cstheme="majorBidi"/>
                <w:color w:val="auto"/>
                <w:sz w:val="18"/>
                <w:szCs w:val="18"/>
              </w:rPr>
              <w:t>Cycles</w:t>
            </w:r>
          </w:p>
        </w:tc>
        <w:tc>
          <w:tcPr>
            <w:tcW w:w="2700" w:type="dxa"/>
            <w:tcBorders>
              <w:top w:val="none" w:sz="0" w:space="0" w:color="auto"/>
              <w:left w:val="none" w:sz="0" w:space="0" w:color="auto"/>
              <w:bottom w:val="none" w:sz="0" w:space="0" w:color="auto"/>
              <w:right w:val="none" w:sz="0" w:space="0" w:color="auto"/>
            </w:tcBorders>
            <w:shd w:val="clear" w:color="auto" w:fill="FFFFFF" w:themeFill="background1"/>
          </w:tcPr>
          <w:p w14:paraId="6B143C8B" w14:textId="77777777" w:rsidR="0020191B" w:rsidRPr="00CA3C42" w:rsidRDefault="0020191B" w:rsidP="000719B4">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p>
        </w:tc>
        <w:tc>
          <w:tcPr>
            <w:tcW w:w="2795" w:type="dxa"/>
            <w:tcBorders>
              <w:top w:val="none" w:sz="0" w:space="0" w:color="auto"/>
              <w:left w:val="none" w:sz="0" w:space="0" w:color="auto"/>
              <w:bottom w:val="none" w:sz="0" w:space="0" w:color="auto"/>
              <w:right w:val="none" w:sz="0" w:space="0" w:color="auto"/>
            </w:tcBorders>
            <w:shd w:val="clear" w:color="auto" w:fill="FFFFFF" w:themeFill="background1"/>
          </w:tcPr>
          <w:p w14:paraId="026386C7" w14:textId="77777777" w:rsidR="0020191B" w:rsidRPr="00CA3C42" w:rsidRDefault="0020191B" w:rsidP="000719B4">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p>
        </w:tc>
      </w:tr>
      <w:tr w:rsidR="00C61AAA" w:rsidRPr="00E85BBA" w14:paraId="0CF89A9B" w14:textId="77777777" w:rsidTr="009901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70AD47" w:themeFill="accent6"/>
            <w:hideMark/>
          </w:tcPr>
          <w:p w14:paraId="53BCCDD6" w14:textId="05DE0DAB" w:rsidR="00C61AAA" w:rsidRPr="00CA3C42" w:rsidRDefault="00C61AAA" w:rsidP="00C61AAA">
            <w:pPr>
              <w:tabs>
                <w:tab w:val="left" w:pos="720"/>
              </w:tabs>
              <w:rPr>
                <w:rFonts w:asciiTheme="majorBidi" w:eastAsia="Times New Roman" w:hAnsiTheme="majorBidi" w:cstheme="majorBidi"/>
                <w:sz w:val="18"/>
                <w:szCs w:val="18"/>
              </w:rPr>
            </w:pPr>
          </w:p>
        </w:tc>
        <w:tc>
          <w:tcPr>
            <w:tcW w:w="2700" w:type="dxa"/>
            <w:shd w:val="clear" w:color="auto" w:fill="70AD47" w:themeFill="accent6"/>
            <w:vAlign w:val="center"/>
          </w:tcPr>
          <w:p w14:paraId="0D317119" w14:textId="3EFDD6D5" w:rsidR="00C61AAA" w:rsidRPr="00300C52" w:rsidRDefault="00C61AAA" w:rsidP="00C61AAA">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tl/>
              </w:rPr>
            </w:pPr>
            <w:proofErr w:type="spellStart"/>
            <w:r w:rsidRPr="00300C52">
              <w:rPr>
                <w:rFonts w:asciiTheme="majorBidi" w:eastAsia="Times New Roman" w:hAnsiTheme="majorBidi" w:cstheme="majorBidi"/>
                <w:sz w:val="18"/>
                <w:szCs w:val="18"/>
              </w:rPr>
              <w:t>SEFSec</w:t>
            </w:r>
            <w:proofErr w:type="spellEnd"/>
            <w:r w:rsidRPr="00300C52">
              <w:rPr>
                <w:rFonts w:asciiTheme="majorBidi" w:eastAsia="Times New Roman" w:hAnsiTheme="majorBidi" w:cstheme="majorBidi"/>
                <w:sz w:val="18"/>
                <w:szCs w:val="18"/>
              </w:rPr>
              <w:t xml:space="preserve"> 2018 </w:t>
            </w:r>
          </w:p>
        </w:tc>
        <w:tc>
          <w:tcPr>
            <w:tcW w:w="2795" w:type="dxa"/>
            <w:shd w:val="clear" w:color="auto" w:fill="70AD47" w:themeFill="accent6"/>
            <w:vAlign w:val="center"/>
          </w:tcPr>
          <w:p w14:paraId="3CCC8434" w14:textId="126147F1" w:rsidR="00C61AAA" w:rsidRPr="00300C52" w:rsidRDefault="00C61AAA" w:rsidP="00C61AAA">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tl/>
              </w:rPr>
            </w:pPr>
            <w:r w:rsidRPr="00300C52">
              <w:rPr>
                <w:rFonts w:asciiTheme="majorBidi" w:eastAsia="Times New Roman" w:hAnsiTheme="majorBidi" w:cstheme="majorBidi"/>
                <w:sz w:val="18"/>
                <w:szCs w:val="18"/>
              </w:rPr>
              <w:t>COVID-19 2020</w:t>
            </w:r>
          </w:p>
        </w:tc>
      </w:tr>
      <w:tr w:rsidR="00C61AAA" w:rsidRPr="00E85BBA" w14:paraId="5F5144AA" w14:textId="77777777" w:rsidTr="009901EC">
        <w:trPr>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E2EFD9" w:themeFill="accent6" w:themeFillTint="33"/>
            <w:vAlign w:val="center"/>
            <w:hideMark/>
          </w:tcPr>
          <w:p w14:paraId="384FEC60" w14:textId="7F9BDF5F" w:rsidR="00C61AAA" w:rsidRPr="00CA3C42" w:rsidRDefault="00C61AAA" w:rsidP="00C61AAA">
            <w:pPr>
              <w:tabs>
                <w:tab w:val="left" w:pos="720"/>
              </w:tabs>
              <w:rPr>
                <w:rFonts w:asciiTheme="majorBidi" w:eastAsia="Times New Roman" w:hAnsiTheme="majorBidi" w:cstheme="majorBidi"/>
                <w:b w:val="0"/>
                <w:bCs w:val="0"/>
                <w:sz w:val="18"/>
                <w:szCs w:val="18"/>
              </w:rPr>
            </w:pPr>
            <w:r>
              <w:rPr>
                <w:rFonts w:asciiTheme="majorBidi" w:eastAsia="Times New Roman" w:hAnsiTheme="majorBidi" w:cstheme="majorBidi"/>
                <w:b w:val="0"/>
                <w:bCs w:val="0"/>
                <w:sz w:val="18"/>
                <w:szCs w:val="18"/>
              </w:rPr>
              <w:t>Over coverage Rate</w:t>
            </w:r>
          </w:p>
        </w:tc>
        <w:tc>
          <w:tcPr>
            <w:tcW w:w="2700" w:type="dxa"/>
            <w:shd w:val="clear" w:color="auto" w:fill="E2EFD9" w:themeFill="accent6" w:themeFillTint="33"/>
            <w:vAlign w:val="center"/>
          </w:tcPr>
          <w:p w14:paraId="6D2BDDF6" w14:textId="7698F69F" w:rsidR="00C61AAA" w:rsidRPr="00300C52" w:rsidRDefault="00D74CBB" w:rsidP="00C61AAA">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tl/>
              </w:rPr>
            </w:pPr>
            <w:r w:rsidRPr="00300C52">
              <w:rPr>
                <w:rFonts w:asciiTheme="majorBidi" w:eastAsia="Times New Roman" w:hAnsiTheme="majorBidi" w:cstheme="majorBidi"/>
                <w:sz w:val="18"/>
                <w:szCs w:val="18"/>
              </w:rPr>
              <w:t>6.3%</w:t>
            </w:r>
          </w:p>
        </w:tc>
        <w:tc>
          <w:tcPr>
            <w:tcW w:w="2795" w:type="dxa"/>
            <w:shd w:val="clear" w:color="auto" w:fill="E2EFD9" w:themeFill="accent6" w:themeFillTint="33"/>
            <w:vAlign w:val="center"/>
          </w:tcPr>
          <w:p w14:paraId="46EF2452" w14:textId="1D72B2C9" w:rsidR="00C61AAA" w:rsidRPr="00300C52" w:rsidRDefault="00D74CBB" w:rsidP="00C61AAA">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300C52">
              <w:rPr>
                <w:rFonts w:asciiTheme="majorBidi" w:eastAsia="Times New Roman" w:hAnsiTheme="majorBidi" w:cstheme="majorBidi"/>
                <w:sz w:val="18"/>
                <w:szCs w:val="18"/>
              </w:rPr>
              <w:t>5.6%</w:t>
            </w:r>
          </w:p>
        </w:tc>
      </w:tr>
      <w:tr w:rsidR="009901EC" w:rsidRPr="00E85BBA" w14:paraId="2002B0AC" w14:textId="77777777" w:rsidTr="009901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vAlign w:val="center"/>
          </w:tcPr>
          <w:p w14:paraId="30516470" w14:textId="77777777" w:rsidR="009901EC" w:rsidRDefault="009901EC" w:rsidP="00C61AAA">
            <w:pPr>
              <w:tabs>
                <w:tab w:val="left" w:pos="720"/>
              </w:tabs>
              <w:rPr>
                <w:rFonts w:asciiTheme="majorBidi" w:eastAsia="Times New Roman" w:hAnsiTheme="majorBidi" w:cstheme="majorBidi"/>
                <w:sz w:val="18"/>
                <w:szCs w:val="18"/>
              </w:rPr>
            </w:pPr>
          </w:p>
        </w:tc>
        <w:tc>
          <w:tcPr>
            <w:tcW w:w="2700" w:type="dxa"/>
            <w:shd w:val="clear" w:color="auto" w:fill="FFFFFF" w:themeFill="background1"/>
            <w:vAlign w:val="center"/>
          </w:tcPr>
          <w:p w14:paraId="3D86E00C" w14:textId="77777777" w:rsidR="009901EC" w:rsidRPr="00300C52" w:rsidRDefault="009901EC" w:rsidP="00C61AAA">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p>
        </w:tc>
        <w:tc>
          <w:tcPr>
            <w:tcW w:w="2795" w:type="dxa"/>
            <w:shd w:val="clear" w:color="auto" w:fill="FFFFFF" w:themeFill="background1"/>
            <w:vAlign w:val="center"/>
          </w:tcPr>
          <w:p w14:paraId="7A4E1182" w14:textId="77777777" w:rsidR="009901EC" w:rsidRPr="00300C52" w:rsidRDefault="009901EC" w:rsidP="00C61AAA">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p>
        </w:tc>
      </w:tr>
      <w:tr w:rsidR="00300C52" w:rsidRPr="00E85BBA" w14:paraId="7CF6E257" w14:textId="77777777" w:rsidTr="009901EC">
        <w:trPr>
          <w:trHeight w:val="283"/>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FFFFF" w:themeFill="background1"/>
            <w:vAlign w:val="center"/>
          </w:tcPr>
          <w:p w14:paraId="49CA9D07" w14:textId="354C0C1E" w:rsidR="00300C52" w:rsidRPr="009901EC" w:rsidRDefault="00300C52" w:rsidP="00300C52">
            <w:pPr>
              <w:tabs>
                <w:tab w:val="left" w:pos="720"/>
              </w:tabs>
              <w:rPr>
                <w:rFonts w:asciiTheme="majorBidi" w:eastAsia="Times New Roman" w:hAnsiTheme="majorBidi" w:cstheme="majorBidi"/>
                <w:sz w:val="18"/>
                <w:szCs w:val="18"/>
              </w:rPr>
            </w:pPr>
            <w:r w:rsidRPr="009901EC">
              <w:rPr>
                <w:rFonts w:asciiTheme="majorBidi" w:eastAsia="Times New Roman" w:hAnsiTheme="majorBidi" w:cstheme="majorBidi"/>
                <w:sz w:val="18"/>
                <w:szCs w:val="18"/>
              </w:rPr>
              <w:t>Labor Force Cycles</w:t>
            </w:r>
          </w:p>
        </w:tc>
      </w:tr>
      <w:tr w:rsidR="00C61AAA" w:rsidRPr="00E85BBA" w14:paraId="4C2BC980" w14:textId="77777777" w:rsidTr="009901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70AD47" w:themeFill="accent6"/>
            <w:hideMark/>
          </w:tcPr>
          <w:p w14:paraId="26562AC7" w14:textId="6B3BCBE9" w:rsidR="00C61AAA" w:rsidRPr="00CA3C42" w:rsidRDefault="00C61AAA" w:rsidP="00C61AAA">
            <w:pPr>
              <w:tabs>
                <w:tab w:val="left" w:pos="720"/>
              </w:tabs>
              <w:rPr>
                <w:rFonts w:asciiTheme="majorBidi" w:eastAsia="Times New Roman" w:hAnsiTheme="majorBidi" w:cstheme="majorBidi"/>
                <w:sz w:val="18"/>
                <w:szCs w:val="18"/>
              </w:rPr>
            </w:pPr>
          </w:p>
        </w:tc>
        <w:tc>
          <w:tcPr>
            <w:tcW w:w="2700" w:type="dxa"/>
            <w:shd w:val="clear" w:color="auto" w:fill="70AD47" w:themeFill="accent6"/>
            <w:vAlign w:val="center"/>
          </w:tcPr>
          <w:p w14:paraId="52B3E1D8" w14:textId="5DF7CBA6" w:rsidR="00C61AAA" w:rsidRPr="00300C52" w:rsidRDefault="00C61AAA" w:rsidP="00C61AAA">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tl/>
              </w:rPr>
            </w:pPr>
            <w:r w:rsidRPr="00300C52">
              <w:rPr>
                <w:rFonts w:asciiTheme="majorBidi" w:eastAsia="Times New Roman" w:hAnsiTheme="majorBidi" w:cstheme="majorBidi"/>
                <w:sz w:val="18"/>
                <w:szCs w:val="18"/>
              </w:rPr>
              <w:t>Labor Force 2019</w:t>
            </w:r>
          </w:p>
        </w:tc>
        <w:tc>
          <w:tcPr>
            <w:tcW w:w="2795" w:type="dxa"/>
            <w:shd w:val="clear" w:color="auto" w:fill="70AD47" w:themeFill="accent6"/>
            <w:vAlign w:val="center"/>
          </w:tcPr>
          <w:p w14:paraId="59EBF53B" w14:textId="4A9EB8C0" w:rsidR="00C61AAA" w:rsidRPr="00300C52" w:rsidRDefault="00C61AAA" w:rsidP="00C61AAA">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300C52">
              <w:rPr>
                <w:rFonts w:asciiTheme="majorBidi" w:eastAsia="Times New Roman" w:hAnsiTheme="majorBidi" w:cstheme="majorBidi"/>
                <w:sz w:val="18"/>
                <w:szCs w:val="18"/>
              </w:rPr>
              <w:t>Labor Force 2020</w:t>
            </w:r>
          </w:p>
        </w:tc>
      </w:tr>
      <w:tr w:rsidR="00C61AAA" w:rsidRPr="00E85BBA" w14:paraId="193D303E" w14:textId="77777777" w:rsidTr="009901EC">
        <w:trPr>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E2EFD9" w:themeFill="accent6" w:themeFillTint="33"/>
            <w:vAlign w:val="center"/>
          </w:tcPr>
          <w:p w14:paraId="4DE93C3C" w14:textId="32BF11FE" w:rsidR="00C61AAA" w:rsidRPr="00CA3C42" w:rsidRDefault="00C61AAA" w:rsidP="00C61AAA">
            <w:pPr>
              <w:tabs>
                <w:tab w:val="left" w:pos="720"/>
              </w:tabs>
              <w:rPr>
                <w:rFonts w:asciiTheme="majorBidi" w:eastAsia="Times New Roman" w:hAnsiTheme="majorBidi" w:cstheme="majorBidi"/>
                <w:sz w:val="18"/>
                <w:szCs w:val="18"/>
              </w:rPr>
            </w:pPr>
            <w:r>
              <w:rPr>
                <w:rFonts w:asciiTheme="majorBidi" w:eastAsia="Times New Roman" w:hAnsiTheme="majorBidi" w:cstheme="majorBidi"/>
                <w:b w:val="0"/>
                <w:bCs w:val="0"/>
                <w:sz w:val="18"/>
                <w:szCs w:val="18"/>
              </w:rPr>
              <w:t>Over coverage Rate</w:t>
            </w:r>
          </w:p>
        </w:tc>
        <w:tc>
          <w:tcPr>
            <w:tcW w:w="2700" w:type="dxa"/>
            <w:shd w:val="clear" w:color="auto" w:fill="E2EFD9" w:themeFill="accent6" w:themeFillTint="33"/>
            <w:vAlign w:val="center"/>
          </w:tcPr>
          <w:p w14:paraId="07B8B89F" w14:textId="5F1C7FB9" w:rsidR="00C61AAA" w:rsidRPr="00AC6A64" w:rsidRDefault="00AC6A64" w:rsidP="00C61AAA">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AC6A64">
              <w:rPr>
                <w:rFonts w:asciiTheme="majorBidi" w:hAnsiTheme="majorBidi" w:cstheme="majorBidi"/>
                <w:color w:val="000000"/>
                <w:sz w:val="18"/>
                <w:szCs w:val="18"/>
              </w:rPr>
              <w:t>0.7%</w:t>
            </w:r>
          </w:p>
        </w:tc>
        <w:tc>
          <w:tcPr>
            <w:tcW w:w="2795" w:type="dxa"/>
            <w:shd w:val="clear" w:color="auto" w:fill="E2EFD9" w:themeFill="accent6" w:themeFillTint="33"/>
            <w:vAlign w:val="center"/>
          </w:tcPr>
          <w:p w14:paraId="548F51AD" w14:textId="768D1ED0" w:rsidR="00C61AAA" w:rsidRPr="00AC6A64" w:rsidRDefault="00AC6A64" w:rsidP="00C61AAA">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AC6A64">
              <w:rPr>
                <w:rFonts w:asciiTheme="majorBidi" w:hAnsiTheme="majorBidi" w:cstheme="majorBidi"/>
                <w:color w:val="000000"/>
                <w:sz w:val="18"/>
                <w:szCs w:val="18"/>
              </w:rPr>
              <w:t>3.2%</w:t>
            </w:r>
          </w:p>
        </w:tc>
      </w:tr>
    </w:tbl>
    <w:p w14:paraId="3497DAD3" w14:textId="3AEA35AB" w:rsidR="008945CA" w:rsidRDefault="008945CA" w:rsidP="00C919F0">
      <w:pPr>
        <w:spacing w:after="0" w:line="240" w:lineRule="auto"/>
        <w:jc w:val="both"/>
        <w:rPr>
          <w:rFonts w:asciiTheme="majorBidi" w:hAnsiTheme="majorBidi" w:cstheme="majorBidi"/>
          <w:sz w:val="16"/>
          <w:szCs w:val="16"/>
        </w:rPr>
      </w:pPr>
      <w:r w:rsidRPr="008945CA">
        <w:rPr>
          <w:rFonts w:asciiTheme="majorBidi" w:hAnsiTheme="majorBidi" w:cstheme="majorBidi"/>
          <w:sz w:val="16"/>
          <w:szCs w:val="16"/>
        </w:rPr>
        <w:t>Source: Socio-Economic Conditions Survey, 2018 - Main Findings, Ramallah – Palestine.</w:t>
      </w:r>
      <w:r w:rsidR="00C919F0">
        <w:rPr>
          <w:rFonts w:asciiTheme="majorBidi" w:hAnsiTheme="majorBidi" w:cstheme="majorBidi"/>
          <w:sz w:val="16"/>
          <w:szCs w:val="16"/>
        </w:rPr>
        <w:t xml:space="preserve"> </w:t>
      </w:r>
      <w:r w:rsidR="00C919F0" w:rsidRPr="00C919F0">
        <w:rPr>
          <w:rFonts w:asciiTheme="majorBidi" w:hAnsiTheme="majorBidi" w:cstheme="majorBidi"/>
          <w:sz w:val="16"/>
          <w:szCs w:val="16"/>
        </w:rPr>
        <w:t>Impact of COVID - 19 Pandemic (Coronavirus) on the Socio-eco</w:t>
      </w:r>
      <w:r w:rsidR="00C919F0">
        <w:rPr>
          <w:rFonts w:asciiTheme="majorBidi" w:hAnsiTheme="majorBidi" w:cstheme="majorBidi"/>
          <w:sz w:val="16"/>
          <w:szCs w:val="16"/>
        </w:rPr>
        <w:t xml:space="preserve">nomic Conditions of Palestinian </w:t>
      </w:r>
      <w:r w:rsidR="00C919F0" w:rsidRPr="00C919F0">
        <w:rPr>
          <w:rFonts w:asciiTheme="majorBidi" w:hAnsiTheme="majorBidi" w:cstheme="majorBidi"/>
          <w:sz w:val="16"/>
          <w:szCs w:val="16"/>
        </w:rPr>
        <w:t>Households Survey (March-May), 2020</w:t>
      </w:r>
      <w:r w:rsidR="00C919F0">
        <w:rPr>
          <w:rFonts w:asciiTheme="majorBidi" w:hAnsiTheme="majorBidi" w:cstheme="majorBidi"/>
          <w:sz w:val="16"/>
          <w:szCs w:val="16"/>
        </w:rPr>
        <w:t xml:space="preserve">. </w:t>
      </w:r>
      <w:r w:rsidR="00C919F0" w:rsidRPr="00C919F0">
        <w:rPr>
          <w:rFonts w:asciiTheme="majorBidi" w:hAnsiTheme="majorBidi" w:cstheme="majorBidi"/>
          <w:sz w:val="16"/>
          <w:szCs w:val="16"/>
        </w:rPr>
        <w:t>Palestinian Labor Force Survey - Annual Report: 2019</w:t>
      </w:r>
      <w:r w:rsidR="00C919F0">
        <w:rPr>
          <w:rFonts w:asciiTheme="majorBidi" w:hAnsiTheme="majorBidi" w:cstheme="majorBidi"/>
          <w:sz w:val="16"/>
          <w:szCs w:val="16"/>
        </w:rPr>
        <w:t>, 2020</w:t>
      </w:r>
    </w:p>
    <w:p w14:paraId="4996CBA8" w14:textId="1B234EEF" w:rsidR="001D55BE" w:rsidRPr="00E85BBA" w:rsidRDefault="00D74CBB" w:rsidP="009901EC">
      <w:pPr>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Over Coverage Rate</w:t>
      </w:r>
      <w:r w:rsidR="00C60076">
        <w:rPr>
          <w:rFonts w:asciiTheme="majorBidi" w:eastAsia="Times New Roman" w:hAnsiTheme="majorBidi" w:cstheme="majorBidi"/>
          <w:sz w:val="24"/>
          <w:szCs w:val="24"/>
        </w:rPr>
        <w:t xml:space="preserve"> </w:t>
      </w:r>
      <w:r w:rsidR="009901EC">
        <w:rPr>
          <w:rFonts w:asciiTheme="majorBidi" w:eastAsia="Times New Roman" w:hAnsiTheme="majorBidi" w:cstheme="majorBidi"/>
          <w:sz w:val="24"/>
          <w:szCs w:val="24"/>
        </w:rPr>
        <w:t xml:space="preserve">regarding the </w:t>
      </w:r>
      <w:r>
        <w:rPr>
          <w:rFonts w:asciiTheme="majorBidi" w:eastAsia="Times New Roman" w:hAnsiTheme="majorBidi" w:cstheme="majorBidi"/>
          <w:sz w:val="24"/>
          <w:szCs w:val="24"/>
        </w:rPr>
        <w:t xml:space="preserve">Cycles </w:t>
      </w:r>
      <w:r w:rsidR="009901EC">
        <w:rPr>
          <w:rFonts w:asciiTheme="majorBidi" w:eastAsia="Times New Roman" w:hAnsiTheme="majorBidi" w:cstheme="majorBidi"/>
          <w:sz w:val="24"/>
          <w:szCs w:val="24"/>
        </w:rPr>
        <w:t xml:space="preserve">of both surveys </w:t>
      </w:r>
      <w:r>
        <w:rPr>
          <w:rFonts w:asciiTheme="majorBidi" w:eastAsia="Times New Roman" w:hAnsiTheme="majorBidi" w:cstheme="majorBidi"/>
          <w:sz w:val="24"/>
          <w:szCs w:val="24"/>
        </w:rPr>
        <w:t xml:space="preserve">indicates </w:t>
      </w:r>
      <w:r w:rsidR="000458C5" w:rsidRPr="00E85BBA">
        <w:rPr>
          <w:rFonts w:asciiTheme="majorBidi" w:eastAsia="Times New Roman" w:hAnsiTheme="majorBidi" w:cstheme="majorBidi"/>
          <w:sz w:val="24"/>
          <w:szCs w:val="24"/>
        </w:rPr>
        <w:t xml:space="preserve">that </w:t>
      </w:r>
      <w:r w:rsidR="00F22E68" w:rsidRPr="00E85BBA">
        <w:rPr>
          <w:rFonts w:asciiTheme="majorBidi" w:eastAsia="Times New Roman" w:hAnsiTheme="majorBidi" w:cstheme="majorBidi"/>
          <w:sz w:val="24"/>
          <w:szCs w:val="24"/>
        </w:rPr>
        <w:t xml:space="preserve">the sampling frame </w:t>
      </w:r>
      <w:r w:rsidR="00B47FAD" w:rsidRPr="00E85BBA">
        <w:rPr>
          <w:rFonts w:asciiTheme="majorBidi" w:eastAsia="Times New Roman" w:hAnsiTheme="majorBidi" w:cstheme="majorBidi"/>
          <w:sz w:val="24"/>
          <w:szCs w:val="24"/>
        </w:rPr>
        <w:t xml:space="preserve">is </w:t>
      </w:r>
      <w:r w:rsidR="00067B45" w:rsidRPr="00E85BBA">
        <w:rPr>
          <w:rFonts w:asciiTheme="majorBidi" w:eastAsia="Times New Roman" w:hAnsiTheme="majorBidi" w:cstheme="majorBidi"/>
          <w:sz w:val="24"/>
          <w:szCs w:val="24"/>
        </w:rPr>
        <w:t>adequately representative of the target population</w:t>
      </w:r>
      <w:r w:rsidR="00916C4A" w:rsidRPr="00E85BBA">
        <w:rPr>
          <w:rFonts w:asciiTheme="majorBidi" w:eastAsia="Times New Roman" w:hAnsiTheme="majorBidi" w:cstheme="majorBidi"/>
          <w:sz w:val="24"/>
          <w:szCs w:val="24"/>
        </w:rPr>
        <w:t>.</w:t>
      </w:r>
    </w:p>
    <w:p w14:paraId="390FD528" w14:textId="77777777" w:rsidR="007D501C" w:rsidRPr="00D97FF0" w:rsidRDefault="007D501C" w:rsidP="00D97FF0">
      <w:pPr>
        <w:spacing w:before="240" w:after="0" w:line="240" w:lineRule="auto"/>
        <w:jc w:val="both"/>
        <w:rPr>
          <w:rFonts w:asciiTheme="majorBidi" w:eastAsia="Times New Roman" w:hAnsiTheme="majorBidi" w:cstheme="majorBidi"/>
          <w:b/>
          <w:bCs/>
          <w:i/>
          <w:iCs/>
          <w:sz w:val="24"/>
          <w:szCs w:val="24"/>
        </w:rPr>
      </w:pPr>
      <w:r w:rsidRPr="00D97FF0">
        <w:rPr>
          <w:rFonts w:asciiTheme="majorBidi" w:eastAsia="Times New Roman" w:hAnsiTheme="majorBidi" w:cstheme="majorBidi"/>
          <w:b/>
          <w:bCs/>
          <w:i/>
          <w:iCs/>
          <w:sz w:val="24"/>
          <w:szCs w:val="24"/>
        </w:rPr>
        <w:t>Response and non-response rates:</w:t>
      </w:r>
    </w:p>
    <w:p w14:paraId="2F71334D" w14:textId="31D76A03" w:rsidR="00EC5F19" w:rsidRPr="00E85BBA" w:rsidRDefault="00EC5F19" w:rsidP="0070007E">
      <w:p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The term response usually refers to the level of participation </w:t>
      </w:r>
      <w:r w:rsidR="007F4B64" w:rsidRPr="00E85BBA">
        <w:rPr>
          <w:rFonts w:asciiTheme="majorBidi" w:eastAsia="Times New Roman" w:hAnsiTheme="majorBidi" w:cstheme="majorBidi"/>
          <w:sz w:val="24"/>
          <w:szCs w:val="24"/>
        </w:rPr>
        <w:t>in survey or interview research. Nonresponse error represents the gap between the sample and the respondents</w:t>
      </w:r>
      <w:sdt>
        <w:sdtPr>
          <w:rPr>
            <w:rFonts w:asciiTheme="majorBidi" w:eastAsia="Times New Roman" w:hAnsiTheme="majorBidi" w:cstheme="majorBidi"/>
            <w:sz w:val="24"/>
            <w:szCs w:val="24"/>
          </w:rPr>
          <w:id w:val="-948243360"/>
          <w:citation/>
        </w:sdtPr>
        <w:sdtEndPr/>
        <w:sdtContent>
          <w:r w:rsidR="00526B99">
            <w:rPr>
              <w:rFonts w:asciiTheme="majorBidi" w:eastAsia="Times New Roman" w:hAnsiTheme="majorBidi" w:cstheme="majorBidi"/>
              <w:sz w:val="24"/>
              <w:szCs w:val="24"/>
            </w:rPr>
            <w:fldChar w:fldCharType="begin"/>
          </w:r>
          <w:r w:rsidR="00BC7316">
            <w:rPr>
              <w:rFonts w:asciiTheme="majorBidi" w:eastAsia="Times New Roman" w:hAnsiTheme="majorBidi" w:cstheme="majorBidi"/>
              <w:sz w:val="24"/>
              <w:szCs w:val="24"/>
            </w:rPr>
            <w:instrText xml:space="preserve"> CITATION Qin12 \l 1033 </w:instrText>
          </w:r>
          <w:r w:rsidR="00526B99">
            <w:rPr>
              <w:rFonts w:asciiTheme="majorBidi" w:eastAsia="Times New Roman" w:hAnsiTheme="majorBidi" w:cstheme="majorBidi"/>
              <w:sz w:val="24"/>
              <w:szCs w:val="24"/>
            </w:rPr>
            <w:fldChar w:fldCharType="separate"/>
          </w:r>
          <w:r w:rsidR="00BC7316">
            <w:rPr>
              <w:rFonts w:asciiTheme="majorBidi" w:eastAsia="Times New Roman" w:hAnsiTheme="majorBidi" w:cstheme="majorBidi"/>
              <w:noProof/>
              <w:sz w:val="24"/>
              <w:szCs w:val="24"/>
            </w:rPr>
            <w:t xml:space="preserve"> </w:t>
          </w:r>
          <w:r w:rsidR="00BC7316" w:rsidRPr="00BC7316">
            <w:rPr>
              <w:rFonts w:asciiTheme="majorBidi" w:eastAsia="Times New Roman" w:hAnsiTheme="majorBidi" w:cstheme="majorBidi"/>
              <w:noProof/>
              <w:sz w:val="24"/>
              <w:szCs w:val="24"/>
            </w:rPr>
            <w:t>(Liu, 2012)</w:t>
          </w:r>
          <w:r w:rsidR="00526B99">
            <w:rPr>
              <w:rFonts w:asciiTheme="majorBidi" w:eastAsia="Times New Roman" w:hAnsiTheme="majorBidi" w:cstheme="majorBidi"/>
              <w:sz w:val="24"/>
              <w:szCs w:val="24"/>
            </w:rPr>
            <w:fldChar w:fldCharType="end"/>
          </w:r>
        </w:sdtContent>
      </w:sdt>
      <w:r w:rsidR="00BC7316">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 xml:space="preserve">In the case of COVID-19 </w:t>
      </w:r>
      <w:r w:rsidR="0070007E" w:rsidRPr="00E85BBA">
        <w:rPr>
          <w:rFonts w:asciiTheme="majorBidi" w:eastAsia="Times New Roman" w:hAnsiTheme="majorBidi" w:cstheme="majorBidi"/>
          <w:sz w:val="24"/>
          <w:szCs w:val="24"/>
        </w:rPr>
        <w:t>survey</w:t>
      </w:r>
      <w:r w:rsidR="0070007E">
        <w:rPr>
          <w:rFonts w:asciiTheme="majorBidi" w:eastAsia="Times New Roman" w:hAnsiTheme="majorBidi" w:cstheme="majorBidi"/>
          <w:sz w:val="24"/>
          <w:szCs w:val="24"/>
        </w:rPr>
        <w:t xml:space="preserve"> and LFS 2020</w:t>
      </w:r>
      <w:r w:rsidRPr="00E85BBA">
        <w:rPr>
          <w:rFonts w:asciiTheme="majorBidi" w:eastAsia="Times New Roman" w:hAnsiTheme="majorBidi" w:cstheme="majorBidi"/>
          <w:sz w:val="24"/>
          <w:szCs w:val="24"/>
        </w:rPr>
        <w:t xml:space="preserve">, </w:t>
      </w:r>
      <w:r w:rsidR="001572D5" w:rsidRPr="00E85BBA">
        <w:rPr>
          <w:rFonts w:asciiTheme="majorBidi" w:eastAsia="Times New Roman" w:hAnsiTheme="majorBidi" w:cstheme="majorBidi"/>
          <w:sz w:val="24"/>
          <w:szCs w:val="24"/>
        </w:rPr>
        <w:t xml:space="preserve">the cases of completed or partially completed </w:t>
      </w:r>
      <w:r w:rsidR="0092551D" w:rsidRPr="00E85BBA">
        <w:rPr>
          <w:rFonts w:asciiTheme="majorBidi" w:eastAsia="Times New Roman" w:hAnsiTheme="majorBidi" w:cstheme="majorBidi"/>
          <w:sz w:val="24"/>
          <w:szCs w:val="24"/>
        </w:rPr>
        <w:t xml:space="preserve">households </w:t>
      </w:r>
      <w:proofErr w:type="gramStart"/>
      <w:r w:rsidR="007A46F6">
        <w:rPr>
          <w:rFonts w:asciiTheme="majorBidi" w:eastAsia="Times New Roman" w:hAnsiTheme="majorBidi" w:cstheme="majorBidi"/>
          <w:sz w:val="24"/>
          <w:szCs w:val="24"/>
        </w:rPr>
        <w:t>are</w:t>
      </w:r>
      <w:r w:rsidR="001572D5" w:rsidRPr="00E85BBA">
        <w:rPr>
          <w:rFonts w:asciiTheme="majorBidi" w:eastAsia="Times New Roman" w:hAnsiTheme="majorBidi" w:cstheme="majorBidi"/>
          <w:sz w:val="24"/>
          <w:szCs w:val="24"/>
        </w:rPr>
        <w:t xml:space="preserve"> considered</w:t>
      </w:r>
      <w:proofErr w:type="gramEnd"/>
      <w:r w:rsidR="001572D5" w:rsidRPr="00E85BBA">
        <w:rPr>
          <w:rFonts w:asciiTheme="majorBidi" w:eastAsia="Times New Roman" w:hAnsiTheme="majorBidi" w:cstheme="majorBidi"/>
          <w:sz w:val="24"/>
          <w:szCs w:val="24"/>
        </w:rPr>
        <w:t xml:space="preserve"> </w:t>
      </w:r>
      <w:r w:rsidRPr="00E85BBA">
        <w:rPr>
          <w:rFonts w:asciiTheme="majorBidi" w:eastAsia="Times New Roman" w:hAnsiTheme="majorBidi" w:cstheme="majorBidi"/>
          <w:sz w:val="24"/>
          <w:szCs w:val="24"/>
        </w:rPr>
        <w:t>response</w:t>
      </w:r>
      <w:r w:rsidR="001572D5" w:rsidRPr="00E85BBA">
        <w:rPr>
          <w:rFonts w:asciiTheme="majorBidi" w:eastAsia="Times New Roman" w:hAnsiTheme="majorBidi" w:cstheme="majorBidi"/>
          <w:sz w:val="24"/>
          <w:szCs w:val="24"/>
        </w:rPr>
        <w:t xml:space="preserve"> cases</w:t>
      </w:r>
      <w:r w:rsidR="009A275F">
        <w:rPr>
          <w:rFonts w:asciiTheme="majorBidi" w:eastAsia="Times New Roman" w:hAnsiTheme="majorBidi" w:cstheme="majorBidi"/>
          <w:sz w:val="24"/>
          <w:szCs w:val="24"/>
        </w:rPr>
        <w:t>.</w:t>
      </w:r>
      <w:r w:rsidR="001572D5" w:rsidRPr="00E85BBA">
        <w:rPr>
          <w:rFonts w:asciiTheme="majorBidi" w:eastAsia="Times New Roman" w:hAnsiTheme="majorBidi" w:cstheme="majorBidi"/>
          <w:sz w:val="24"/>
          <w:szCs w:val="24"/>
        </w:rPr>
        <w:t xml:space="preserve"> </w:t>
      </w:r>
      <w:r w:rsidR="009A275F">
        <w:rPr>
          <w:rFonts w:asciiTheme="majorBidi" w:eastAsia="Times New Roman" w:hAnsiTheme="majorBidi" w:cstheme="majorBidi"/>
          <w:sz w:val="24"/>
          <w:szCs w:val="24"/>
        </w:rPr>
        <w:t>W</w:t>
      </w:r>
      <w:r w:rsidR="001572D5" w:rsidRPr="00E85BBA">
        <w:rPr>
          <w:rFonts w:asciiTheme="majorBidi" w:eastAsia="Times New Roman" w:hAnsiTheme="majorBidi" w:cstheme="majorBidi"/>
          <w:sz w:val="24"/>
          <w:szCs w:val="24"/>
        </w:rPr>
        <w:t xml:space="preserve">hereas, non-response cases </w:t>
      </w:r>
      <w:proofErr w:type="gramStart"/>
      <w:r w:rsidR="009A275F">
        <w:rPr>
          <w:rFonts w:asciiTheme="majorBidi" w:eastAsia="Times New Roman" w:hAnsiTheme="majorBidi" w:cstheme="majorBidi"/>
          <w:sz w:val="24"/>
          <w:szCs w:val="24"/>
        </w:rPr>
        <w:t>are</w:t>
      </w:r>
      <w:r w:rsidRPr="00E85BBA">
        <w:rPr>
          <w:rFonts w:asciiTheme="majorBidi" w:eastAsia="Times New Roman" w:hAnsiTheme="majorBidi" w:cstheme="majorBidi"/>
          <w:sz w:val="24"/>
          <w:szCs w:val="24"/>
        </w:rPr>
        <w:t xml:space="preserve"> attributed</w:t>
      </w:r>
      <w:proofErr w:type="gramEnd"/>
      <w:r w:rsidRPr="00E85BBA">
        <w:rPr>
          <w:rFonts w:asciiTheme="majorBidi" w:eastAsia="Times New Roman" w:hAnsiTheme="majorBidi" w:cstheme="majorBidi"/>
          <w:sz w:val="24"/>
          <w:szCs w:val="24"/>
        </w:rPr>
        <w:t xml:space="preserve"> to different factors, which are:</w:t>
      </w:r>
    </w:p>
    <w:p w14:paraId="24C9EDA9" w14:textId="77777777" w:rsidR="00076FCC" w:rsidRPr="00E85BBA" w:rsidRDefault="001572D5" w:rsidP="005A3732">
      <w:pPr>
        <w:pStyle w:val="ListParagraph"/>
        <w:numPr>
          <w:ilvl w:val="0"/>
          <w:numId w:val="19"/>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The household refuses to </w:t>
      </w:r>
      <w:r w:rsidR="00076FCC" w:rsidRPr="00E85BBA">
        <w:rPr>
          <w:rFonts w:asciiTheme="majorBidi" w:eastAsia="Times New Roman" w:hAnsiTheme="majorBidi" w:cstheme="majorBidi"/>
          <w:sz w:val="24"/>
          <w:szCs w:val="24"/>
        </w:rPr>
        <w:t>cooperate.</w:t>
      </w:r>
    </w:p>
    <w:p w14:paraId="71AF3A51" w14:textId="77777777" w:rsidR="00076FCC" w:rsidRPr="00E85BBA" w:rsidRDefault="00076FCC" w:rsidP="005A3732">
      <w:pPr>
        <w:pStyle w:val="ListParagraph"/>
        <w:numPr>
          <w:ilvl w:val="0"/>
          <w:numId w:val="19"/>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phone of the household is switched off.</w:t>
      </w:r>
    </w:p>
    <w:p w14:paraId="6A5D3207" w14:textId="77777777" w:rsidR="00076FCC" w:rsidRPr="00E85BBA" w:rsidRDefault="00076FCC" w:rsidP="005A3732">
      <w:pPr>
        <w:pStyle w:val="ListParagraph"/>
        <w:numPr>
          <w:ilvl w:val="0"/>
          <w:numId w:val="19"/>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No one of the households’ member answered the call.</w:t>
      </w:r>
    </w:p>
    <w:p w14:paraId="14553972" w14:textId="77777777" w:rsidR="001572D5" w:rsidRPr="00E85BBA" w:rsidRDefault="00076FCC" w:rsidP="005A3732">
      <w:pPr>
        <w:pStyle w:val="ListParagraph"/>
        <w:numPr>
          <w:ilvl w:val="0"/>
          <w:numId w:val="19"/>
        </w:numPr>
        <w:tabs>
          <w:tab w:val="left" w:pos="720"/>
        </w:tabs>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respondent is an unqualified member to give answers.</w:t>
      </w:r>
      <w:r w:rsidR="001572D5" w:rsidRPr="00E85BBA">
        <w:rPr>
          <w:rFonts w:asciiTheme="majorBidi" w:eastAsia="Times New Roman" w:hAnsiTheme="majorBidi" w:cstheme="majorBidi"/>
          <w:sz w:val="24"/>
          <w:szCs w:val="24"/>
        </w:rPr>
        <w:t xml:space="preserve"> </w:t>
      </w:r>
    </w:p>
    <w:p w14:paraId="190BA049" w14:textId="77777777" w:rsidR="009F1910" w:rsidRDefault="009F1910" w:rsidP="005A3732">
      <w:pPr>
        <w:spacing w:after="0" w:line="240" w:lineRule="auto"/>
        <w:jc w:val="both"/>
        <w:rPr>
          <w:rFonts w:asciiTheme="majorBidi" w:eastAsia="Times New Roman" w:hAnsiTheme="majorBidi" w:cstheme="majorBidi"/>
          <w:sz w:val="24"/>
          <w:szCs w:val="24"/>
        </w:rPr>
      </w:pPr>
    </w:p>
    <w:p w14:paraId="25AC89BC" w14:textId="3DF05A68" w:rsidR="0002708B" w:rsidRDefault="00076FCC" w:rsidP="005A3732">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lastRenderedPageBreak/>
        <w:t>The results are as follow:</w:t>
      </w:r>
    </w:p>
    <w:p w14:paraId="48C91E9F" w14:textId="77777777" w:rsidR="00F80ED0" w:rsidRDefault="00F80ED0" w:rsidP="005A3732">
      <w:pPr>
        <w:spacing w:after="0" w:line="240" w:lineRule="auto"/>
        <w:jc w:val="both"/>
        <w:rPr>
          <w:rFonts w:asciiTheme="majorBidi" w:eastAsia="Times New Roman" w:hAnsiTheme="majorBidi" w:cstheme="majorBidi"/>
          <w:sz w:val="24"/>
          <w:szCs w:val="24"/>
        </w:rPr>
      </w:pPr>
    </w:p>
    <w:p w14:paraId="10EB22EB" w14:textId="005D7773" w:rsidR="00F84A32" w:rsidRPr="00634163" w:rsidRDefault="00F84A32" w:rsidP="00E20618">
      <w:pPr>
        <w:tabs>
          <w:tab w:val="left" w:pos="720"/>
        </w:tabs>
        <w:spacing w:line="240" w:lineRule="auto"/>
        <w:ind w:left="360"/>
        <w:jc w:val="center"/>
        <w:rPr>
          <w:rFonts w:asciiTheme="majorBidi" w:eastAsia="Times New Roman" w:hAnsiTheme="majorBidi" w:cstheme="majorBidi"/>
        </w:rPr>
      </w:pPr>
      <w:r w:rsidRPr="00634163">
        <w:rPr>
          <w:rFonts w:asciiTheme="majorBidi" w:eastAsia="Times New Roman" w:hAnsiTheme="majorBidi" w:cstheme="majorBidi"/>
          <w:b/>
          <w:bCs/>
        </w:rPr>
        <w:t xml:space="preserve">Table </w:t>
      </w:r>
      <w:r w:rsidR="00E20618">
        <w:rPr>
          <w:rFonts w:asciiTheme="majorBidi" w:eastAsia="Times New Roman" w:hAnsiTheme="majorBidi" w:cstheme="majorBidi"/>
          <w:b/>
          <w:bCs/>
        </w:rPr>
        <w:t>3</w:t>
      </w:r>
      <w:r w:rsidRPr="00634163">
        <w:rPr>
          <w:rFonts w:asciiTheme="majorBidi" w:eastAsia="Times New Roman" w:hAnsiTheme="majorBidi" w:cstheme="majorBidi"/>
        </w:rPr>
        <w:t xml:space="preserve">: Response and Non-Response Rates </w:t>
      </w:r>
    </w:p>
    <w:tbl>
      <w:tblPr>
        <w:tblStyle w:val="GridTable4-Accent6"/>
        <w:tblW w:w="9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00"/>
        <w:gridCol w:w="2700"/>
      </w:tblGrid>
      <w:tr w:rsidR="007055C0" w:rsidRPr="00E85BBA" w14:paraId="46EE989E" w14:textId="77777777" w:rsidTr="007055C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2B9AA99" w14:textId="75117579" w:rsidR="007055C0" w:rsidRPr="00CA3C42" w:rsidRDefault="007055C0" w:rsidP="007055C0">
            <w:pPr>
              <w:tabs>
                <w:tab w:val="left" w:pos="720"/>
              </w:tabs>
              <w:rPr>
                <w:rFonts w:asciiTheme="majorBidi" w:eastAsia="Times New Roman" w:hAnsiTheme="majorBidi" w:cstheme="majorBidi"/>
                <w:sz w:val="18"/>
                <w:szCs w:val="18"/>
              </w:rPr>
            </w:pPr>
            <w:r w:rsidRPr="009901EC">
              <w:rPr>
                <w:rFonts w:asciiTheme="majorBidi" w:eastAsia="Times New Roman" w:hAnsiTheme="majorBidi" w:cstheme="majorBidi"/>
                <w:color w:val="auto"/>
                <w:sz w:val="18"/>
                <w:szCs w:val="18"/>
              </w:rPr>
              <w:t>COVID-19 Cycles</w:t>
            </w:r>
          </w:p>
        </w:tc>
        <w:tc>
          <w:tcPr>
            <w:tcW w:w="270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7D27904" w14:textId="77777777" w:rsidR="007055C0" w:rsidRPr="00CA3C42" w:rsidRDefault="007055C0" w:rsidP="007055C0">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p>
        </w:tc>
        <w:tc>
          <w:tcPr>
            <w:tcW w:w="270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079423C" w14:textId="77777777" w:rsidR="007055C0" w:rsidRPr="00CA3C42" w:rsidRDefault="007055C0" w:rsidP="007055C0">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p>
        </w:tc>
      </w:tr>
      <w:tr w:rsidR="007055C0" w:rsidRPr="00E85BBA" w14:paraId="344AAB45" w14:textId="77777777" w:rsidTr="007055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70AD47" w:themeFill="accent6"/>
            <w:hideMark/>
          </w:tcPr>
          <w:p w14:paraId="27A75076" w14:textId="77777777" w:rsidR="007055C0" w:rsidRPr="00CA3C42" w:rsidRDefault="007055C0" w:rsidP="007055C0">
            <w:pPr>
              <w:tabs>
                <w:tab w:val="left" w:pos="720"/>
              </w:tabs>
              <w:rPr>
                <w:rFonts w:asciiTheme="majorBidi" w:eastAsia="Times New Roman" w:hAnsiTheme="majorBidi" w:cstheme="majorBidi"/>
                <w:sz w:val="18"/>
                <w:szCs w:val="18"/>
              </w:rPr>
            </w:pPr>
          </w:p>
        </w:tc>
        <w:tc>
          <w:tcPr>
            <w:tcW w:w="2700" w:type="dxa"/>
            <w:shd w:val="clear" w:color="auto" w:fill="70AD47" w:themeFill="accent6"/>
            <w:vAlign w:val="center"/>
          </w:tcPr>
          <w:p w14:paraId="4E92AA8B" w14:textId="42EE2C45"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proofErr w:type="spellStart"/>
            <w:r w:rsidRPr="00CA3C42">
              <w:rPr>
                <w:rFonts w:asciiTheme="majorBidi" w:eastAsia="Times New Roman" w:hAnsiTheme="majorBidi" w:cstheme="majorBidi"/>
                <w:sz w:val="18"/>
                <w:szCs w:val="18"/>
              </w:rPr>
              <w:t>SEFSec</w:t>
            </w:r>
            <w:proofErr w:type="spellEnd"/>
            <w:r w:rsidRPr="00CA3C42">
              <w:rPr>
                <w:rFonts w:asciiTheme="majorBidi" w:eastAsia="Times New Roman" w:hAnsiTheme="majorBidi" w:cstheme="majorBidi"/>
                <w:sz w:val="18"/>
                <w:szCs w:val="18"/>
              </w:rPr>
              <w:t xml:space="preserve"> 2018 </w:t>
            </w:r>
          </w:p>
        </w:tc>
        <w:tc>
          <w:tcPr>
            <w:tcW w:w="2700" w:type="dxa"/>
            <w:shd w:val="clear" w:color="auto" w:fill="70AD47" w:themeFill="accent6"/>
            <w:vAlign w:val="center"/>
            <w:hideMark/>
          </w:tcPr>
          <w:p w14:paraId="58C69675" w14:textId="16DCCA00"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tl/>
              </w:rPr>
            </w:pPr>
            <w:r w:rsidRPr="00CA3C42">
              <w:rPr>
                <w:rFonts w:asciiTheme="majorBidi" w:eastAsia="Times New Roman" w:hAnsiTheme="majorBidi" w:cstheme="majorBidi"/>
                <w:sz w:val="18"/>
                <w:szCs w:val="18"/>
              </w:rPr>
              <w:t xml:space="preserve">COVID-19 </w:t>
            </w:r>
            <w:r>
              <w:rPr>
                <w:rFonts w:asciiTheme="majorBidi" w:eastAsia="Times New Roman" w:hAnsiTheme="majorBidi" w:cstheme="majorBidi"/>
                <w:sz w:val="18"/>
                <w:szCs w:val="18"/>
              </w:rPr>
              <w:t>2020</w:t>
            </w:r>
          </w:p>
        </w:tc>
      </w:tr>
      <w:tr w:rsidR="007055C0" w:rsidRPr="00E85BBA" w14:paraId="58E57D49" w14:textId="77777777" w:rsidTr="007055C0">
        <w:trPr>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vAlign w:val="center"/>
            <w:hideMark/>
          </w:tcPr>
          <w:p w14:paraId="2F99390E" w14:textId="0E6FBA76" w:rsidR="007055C0" w:rsidRPr="00CA3C42" w:rsidRDefault="007055C0" w:rsidP="007055C0">
            <w:pPr>
              <w:tabs>
                <w:tab w:val="left" w:pos="720"/>
              </w:tabs>
              <w:rPr>
                <w:rFonts w:asciiTheme="majorBidi" w:eastAsia="Times New Roman" w:hAnsiTheme="majorBidi" w:cstheme="majorBidi"/>
                <w:b w:val="0"/>
                <w:bCs w:val="0"/>
                <w:sz w:val="18"/>
                <w:szCs w:val="18"/>
              </w:rPr>
            </w:pPr>
            <w:r w:rsidRPr="00CA3C42">
              <w:rPr>
                <w:rFonts w:asciiTheme="majorBidi" w:eastAsia="Times New Roman" w:hAnsiTheme="majorBidi" w:cstheme="majorBidi"/>
                <w:b w:val="0"/>
                <w:bCs w:val="0"/>
                <w:sz w:val="18"/>
                <w:szCs w:val="18"/>
              </w:rPr>
              <w:t>Response Rate</w:t>
            </w:r>
            <w:r>
              <w:rPr>
                <w:rFonts w:asciiTheme="majorBidi" w:eastAsia="Times New Roman" w:hAnsiTheme="majorBidi" w:cstheme="majorBidi"/>
                <w:b w:val="0"/>
                <w:bCs w:val="0"/>
                <w:sz w:val="18"/>
                <w:szCs w:val="18"/>
              </w:rPr>
              <w:t xml:space="preserve"> %</w:t>
            </w:r>
          </w:p>
        </w:tc>
        <w:tc>
          <w:tcPr>
            <w:tcW w:w="2700" w:type="dxa"/>
            <w:shd w:val="clear" w:color="auto" w:fill="FFFFFF" w:themeFill="background1"/>
            <w:vAlign w:val="center"/>
          </w:tcPr>
          <w:p w14:paraId="42CDFC31" w14:textId="6BA2979F"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CA3C42">
              <w:rPr>
                <w:rFonts w:asciiTheme="majorBidi" w:hAnsiTheme="majorBidi" w:cstheme="majorBidi"/>
                <w:color w:val="000000"/>
                <w:sz w:val="18"/>
                <w:szCs w:val="18"/>
              </w:rPr>
              <w:t>90.2</w:t>
            </w:r>
          </w:p>
        </w:tc>
        <w:tc>
          <w:tcPr>
            <w:tcW w:w="2700" w:type="dxa"/>
            <w:shd w:val="clear" w:color="auto" w:fill="FFFFFF" w:themeFill="background1"/>
            <w:vAlign w:val="center"/>
            <w:hideMark/>
          </w:tcPr>
          <w:p w14:paraId="242E9066" w14:textId="20D35F58"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tl/>
              </w:rPr>
            </w:pPr>
            <w:r w:rsidRPr="00CA3C42">
              <w:rPr>
                <w:rFonts w:asciiTheme="majorBidi" w:hAnsiTheme="majorBidi" w:cstheme="majorBidi"/>
                <w:color w:val="000000"/>
                <w:sz w:val="18"/>
                <w:szCs w:val="18"/>
              </w:rPr>
              <w:t>93.6</w:t>
            </w:r>
          </w:p>
        </w:tc>
      </w:tr>
      <w:tr w:rsidR="007055C0" w:rsidRPr="00E85BBA" w14:paraId="3F822DD6" w14:textId="77777777" w:rsidTr="007055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7044B8F" w14:textId="12AEA3A2" w:rsidR="007055C0" w:rsidRPr="00CA3C42" w:rsidRDefault="007055C0" w:rsidP="007055C0">
            <w:pPr>
              <w:tabs>
                <w:tab w:val="left" w:pos="720"/>
              </w:tabs>
              <w:rPr>
                <w:rFonts w:asciiTheme="majorBidi" w:eastAsia="Times New Roman" w:hAnsiTheme="majorBidi" w:cstheme="majorBidi"/>
                <w:b w:val="0"/>
                <w:bCs w:val="0"/>
                <w:sz w:val="18"/>
                <w:szCs w:val="18"/>
              </w:rPr>
            </w:pPr>
            <w:r w:rsidRPr="00CA3C42">
              <w:rPr>
                <w:rFonts w:asciiTheme="majorBidi" w:eastAsia="Times New Roman" w:hAnsiTheme="majorBidi" w:cstheme="majorBidi"/>
                <w:b w:val="0"/>
                <w:bCs w:val="0"/>
                <w:sz w:val="18"/>
                <w:szCs w:val="18"/>
              </w:rPr>
              <w:t>Non-Response Rate</w:t>
            </w:r>
            <w:r>
              <w:rPr>
                <w:rFonts w:asciiTheme="majorBidi" w:eastAsia="Times New Roman" w:hAnsiTheme="majorBidi" w:cstheme="majorBidi"/>
                <w:b w:val="0"/>
                <w:bCs w:val="0"/>
                <w:sz w:val="18"/>
                <w:szCs w:val="18"/>
              </w:rPr>
              <w:t xml:space="preserve"> %</w:t>
            </w:r>
          </w:p>
        </w:tc>
        <w:tc>
          <w:tcPr>
            <w:tcW w:w="2700" w:type="dxa"/>
            <w:vAlign w:val="center"/>
          </w:tcPr>
          <w:p w14:paraId="7D6AF885" w14:textId="579FA0A7"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CA3C42">
              <w:rPr>
                <w:rFonts w:asciiTheme="majorBidi" w:hAnsiTheme="majorBidi" w:cstheme="majorBidi"/>
                <w:color w:val="000000"/>
                <w:sz w:val="18"/>
                <w:szCs w:val="18"/>
              </w:rPr>
              <w:t>9.8</w:t>
            </w:r>
          </w:p>
        </w:tc>
        <w:tc>
          <w:tcPr>
            <w:tcW w:w="2700" w:type="dxa"/>
            <w:vAlign w:val="center"/>
          </w:tcPr>
          <w:p w14:paraId="7AD39851" w14:textId="011060EA"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CA3C42">
              <w:rPr>
                <w:rFonts w:asciiTheme="majorBidi" w:hAnsiTheme="majorBidi" w:cstheme="majorBidi"/>
                <w:color w:val="000000"/>
                <w:sz w:val="18"/>
                <w:szCs w:val="18"/>
              </w:rPr>
              <w:t>6.4</w:t>
            </w:r>
          </w:p>
        </w:tc>
      </w:tr>
      <w:tr w:rsidR="007055C0" w:rsidRPr="00E85BBA" w14:paraId="70D245C3" w14:textId="77777777" w:rsidTr="007055C0">
        <w:trPr>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vAlign w:val="center"/>
          </w:tcPr>
          <w:p w14:paraId="7CB6598B" w14:textId="77777777" w:rsidR="007055C0" w:rsidRPr="00CA3C42" w:rsidRDefault="007055C0" w:rsidP="007055C0">
            <w:pPr>
              <w:tabs>
                <w:tab w:val="left" w:pos="720"/>
              </w:tabs>
              <w:rPr>
                <w:rFonts w:asciiTheme="majorBidi" w:eastAsia="Times New Roman" w:hAnsiTheme="majorBidi" w:cstheme="majorBidi"/>
                <w:sz w:val="18"/>
                <w:szCs w:val="18"/>
              </w:rPr>
            </w:pPr>
          </w:p>
        </w:tc>
        <w:tc>
          <w:tcPr>
            <w:tcW w:w="2700" w:type="dxa"/>
            <w:shd w:val="clear" w:color="auto" w:fill="FFFFFF" w:themeFill="background1"/>
            <w:vAlign w:val="center"/>
          </w:tcPr>
          <w:p w14:paraId="7A961E75" w14:textId="77777777"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p>
        </w:tc>
        <w:tc>
          <w:tcPr>
            <w:tcW w:w="2700" w:type="dxa"/>
            <w:shd w:val="clear" w:color="auto" w:fill="FFFFFF" w:themeFill="background1"/>
            <w:vAlign w:val="center"/>
          </w:tcPr>
          <w:p w14:paraId="6C1B5D2C" w14:textId="77777777"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p>
        </w:tc>
      </w:tr>
      <w:tr w:rsidR="007055C0" w:rsidRPr="00E85BBA" w14:paraId="30882971" w14:textId="77777777" w:rsidTr="007055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vAlign w:val="center"/>
          </w:tcPr>
          <w:p w14:paraId="16CEC7EE" w14:textId="5C24C91A" w:rsidR="007055C0" w:rsidRPr="00CA3C42" w:rsidRDefault="007055C0" w:rsidP="007055C0">
            <w:pPr>
              <w:tabs>
                <w:tab w:val="left" w:pos="720"/>
              </w:tabs>
              <w:rPr>
                <w:rFonts w:asciiTheme="majorBidi" w:eastAsia="Times New Roman" w:hAnsiTheme="majorBidi" w:cstheme="majorBidi"/>
                <w:sz w:val="18"/>
                <w:szCs w:val="18"/>
              </w:rPr>
            </w:pPr>
            <w:r w:rsidRPr="009901EC">
              <w:rPr>
                <w:rFonts w:asciiTheme="majorBidi" w:eastAsia="Times New Roman" w:hAnsiTheme="majorBidi" w:cstheme="majorBidi"/>
                <w:sz w:val="18"/>
                <w:szCs w:val="18"/>
              </w:rPr>
              <w:t>Labor Force Cycles</w:t>
            </w:r>
          </w:p>
        </w:tc>
        <w:tc>
          <w:tcPr>
            <w:tcW w:w="2700" w:type="dxa"/>
            <w:shd w:val="clear" w:color="auto" w:fill="FFFFFF" w:themeFill="background1"/>
            <w:vAlign w:val="center"/>
          </w:tcPr>
          <w:p w14:paraId="15D8AE56" w14:textId="77777777"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p>
        </w:tc>
        <w:tc>
          <w:tcPr>
            <w:tcW w:w="2700" w:type="dxa"/>
            <w:shd w:val="clear" w:color="auto" w:fill="FFFFFF" w:themeFill="background1"/>
            <w:vAlign w:val="center"/>
          </w:tcPr>
          <w:p w14:paraId="34A4C78D" w14:textId="77777777"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p>
        </w:tc>
      </w:tr>
      <w:tr w:rsidR="007055C0" w:rsidRPr="00E85BBA" w14:paraId="5DED3885" w14:textId="77777777" w:rsidTr="007055C0">
        <w:trPr>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70AD47" w:themeFill="accent6"/>
            <w:vAlign w:val="center"/>
          </w:tcPr>
          <w:p w14:paraId="56DABB54" w14:textId="77777777" w:rsidR="007055C0" w:rsidRPr="00CA3C42" w:rsidRDefault="007055C0" w:rsidP="007055C0">
            <w:pPr>
              <w:tabs>
                <w:tab w:val="left" w:pos="720"/>
              </w:tabs>
              <w:rPr>
                <w:rFonts w:asciiTheme="majorBidi" w:eastAsia="Times New Roman" w:hAnsiTheme="majorBidi" w:cstheme="majorBidi"/>
                <w:sz w:val="18"/>
                <w:szCs w:val="18"/>
              </w:rPr>
            </w:pPr>
          </w:p>
        </w:tc>
        <w:tc>
          <w:tcPr>
            <w:tcW w:w="2700" w:type="dxa"/>
            <w:shd w:val="clear" w:color="auto" w:fill="70AD47" w:themeFill="accent6"/>
            <w:vAlign w:val="center"/>
          </w:tcPr>
          <w:p w14:paraId="2051710A" w14:textId="745190A5"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300C52">
              <w:rPr>
                <w:rFonts w:asciiTheme="majorBidi" w:eastAsia="Times New Roman" w:hAnsiTheme="majorBidi" w:cstheme="majorBidi"/>
                <w:sz w:val="18"/>
                <w:szCs w:val="18"/>
              </w:rPr>
              <w:t>Labor Force 2019</w:t>
            </w:r>
          </w:p>
        </w:tc>
        <w:tc>
          <w:tcPr>
            <w:tcW w:w="2700" w:type="dxa"/>
            <w:shd w:val="clear" w:color="auto" w:fill="70AD47" w:themeFill="accent6"/>
            <w:vAlign w:val="center"/>
          </w:tcPr>
          <w:p w14:paraId="6F6A5935" w14:textId="78270AE4"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300C52">
              <w:rPr>
                <w:rFonts w:asciiTheme="majorBidi" w:eastAsia="Times New Roman" w:hAnsiTheme="majorBidi" w:cstheme="majorBidi"/>
                <w:sz w:val="18"/>
                <w:szCs w:val="18"/>
              </w:rPr>
              <w:t>Labor Force 2020</w:t>
            </w:r>
          </w:p>
        </w:tc>
      </w:tr>
      <w:tr w:rsidR="007055C0" w:rsidRPr="00E85BBA" w14:paraId="79C772AC" w14:textId="77777777" w:rsidTr="007055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vAlign w:val="center"/>
          </w:tcPr>
          <w:p w14:paraId="72AA96E2" w14:textId="29980685" w:rsidR="007055C0" w:rsidRPr="00CA3C42" w:rsidRDefault="007055C0" w:rsidP="007055C0">
            <w:pPr>
              <w:tabs>
                <w:tab w:val="left" w:pos="720"/>
              </w:tabs>
              <w:rPr>
                <w:rFonts w:asciiTheme="majorBidi" w:eastAsia="Times New Roman" w:hAnsiTheme="majorBidi" w:cstheme="majorBidi"/>
                <w:sz w:val="18"/>
                <w:szCs w:val="18"/>
              </w:rPr>
            </w:pPr>
            <w:r w:rsidRPr="00CA3C42">
              <w:rPr>
                <w:rFonts w:asciiTheme="majorBidi" w:eastAsia="Times New Roman" w:hAnsiTheme="majorBidi" w:cstheme="majorBidi"/>
                <w:b w:val="0"/>
                <w:bCs w:val="0"/>
                <w:sz w:val="18"/>
                <w:szCs w:val="18"/>
              </w:rPr>
              <w:t>Response Rate</w:t>
            </w:r>
            <w:r>
              <w:rPr>
                <w:rFonts w:asciiTheme="majorBidi" w:eastAsia="Times New Roman" w:hAnsiTheme="majorBidi" w:cstheme="majorBidi"/>
                <w:b w:val="0"/>
                <w:bCs w:val="0"/>
                <w:sz w:val="18"/>
                <w:szCs w:val="18"/>
              </w:rPr>
              <w:t xml:space="preserve"> %</w:t>
            </w:r>
          </w:p>
        </w:tc>
        <w:tc>
          <w:tcPr>
            <w:tcW w:w="2700" w:type="dxa"/>
            <w:shd w:val="clear" w:color="auto" w:fill="FFFFFF" w:themeFill="background1"/>
            <w:vAlign w:val="center"/>
          </w:tcPr>
          <w:p w14:paraId="156B5D35" w14:textId="40A9DA95"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Pr>
                <w:rFonts w:asciiTheme="majorBidi" w:hAnsiTheme="majorBidi" w:cstheme="majorBidi"/>
                <w:color w:val="000000"/>
                <w:sz w:val="18"/>
                <w:szCs w:val="18"/>
              </w:rPr>
              <w:t>83.4</w:t>
            </w:r>
          </w:p>
        </w:tc>
        <w:tc>
          <w:tcPr>
            <w:tcW w:w="2700" w:type="dxa"/>
            <w:shd w:val="clear" w:color="auto" w:fill="FFFFFF" w:themeFill="background1"/>
            <w:vAlign w:val="center"/>
          </w:tcPr>
          <w:p w14:paraId="52E36C88" w14:textId="72E2F18C" w:rsidR="007055C0" w:rsidRPr="00CA3C42" w:rsidRDefault="007055C0" w:rsidP="007055C0">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Pr>
                <w:rFonts w:asciiTheme="majorBidi" w:hAnsiTheme="majorBidi" w:cstheme="majorBidi"/>
                <w:color w:val="000000"/>
                <w:sz w:val="18"/>
                <w:szCs w:val="18"/>
              </w:rPr>
              <w:t>76.8</w:t>
            </w:r>
          </w:p>
        </w:tc>
      </w:tr>
      <w:tr w:rsidR="007055C0" w:rsidRPr="00E85BBA" w14:paraId="07E44C8B" w14:textId="77777777" w:rsidTr="007055C0">
        <w:trPr>
          <w:trHeight w:val="283"/>
        </w:trPr>
        <w:tc>
          <w:tcPr>
            <w:cnfStyle w:val="001000000000" w:firstRow="0" w:lastRow="0" w:firstColumn="1" w:lastColumn="0" w:oddVBand="0" w:evenVBand="0" w:oddHBand="0" w:evenHBand="0" w:firstRowFirstColumn="0" w:firstRowLastColumn="0" w:lastRowFirstColumn="0" w:lastRowLastColumn="0"/>
            <w:tcW w:w="3865" w:type="dxa"/>
            <w:shd w:val="clear" w:color="auto" w:fill="E2EFD9" w:themeFill="accent6" w:themeFillTint="33"/>
            <w:vAlign w:val="center"/>
          </w:tcPr>
          <w:p w14:paraId="167CFA63" w14:textId="2EE9D712" w:rsidR="007055C0" w:rsidRPr="007055C0" w:rsidRDefault="007055C0" w:rsidP="007055C0">
            <w:pPr>
              <w:tabs>
                <w:tab w:val="left" w:pos="720"/>
              </w:tabs>
              <w:rPr>
                <w:rFonts w:asciiTheme="majorBidi" w:eastAsia="Times New Roman" w:hAnsiTheme="majorBidi" w:cstheme="majorBidi"/>
                <w:b w:val="0"/>
                <w:bCs w:val="0"/>
                <w:sz w:val="18"/>
                <w:szCs w:val="18"/>
              </w:rPr>
            </w:pPr>
            <w:r w:rsidRPr="00CA3C42">
              <w:rPr>
                <w:rFonts w:asciiTheme="majorBidi" w:eastAsia="Times New Roman" w:hAnsiTheme="majorBidi" w:cstheme="majorBidi"/>
                <w:b w:val="0"/>
                <w:bCs w:val="0"/>
                <w:sz w:val="18"/>
                <w:szCs w:val="18"/>
              </w:rPr>
              <w:t>Non-Response Rate</w:t>
            </w:r>
            <w:r>
              <w:rPr>
                <w:rFonts w:asciiTheme="majorBidi" w:eastAsia="Times New Roman" w:hAnsiTheme="majorBidi" w:cstheme="majorBidi"/>
                <w:b w:val="0"/>
                <w:bCs w:val="0"/>
                <w:sz w:val="18"/>
                <w:szCs w:val="18"/>
              </w:rPr>
              <w:t xml:space="preserve"> %</w:t>
            </w:r>
          </w:p>
        </w:tc>
        <w:tc>
          <w:tcPr>
            <w:tcW w:w="2700" w:type="dxa"/>
            <w:shd w:val="clear" w:color="auto" w:fill="E2EFD9" w:themeFill="accent6" w:themeFillTint="33"/>
            <w:vAlign w:val="center"/>
          </w:tcPr>
          <w:p w14:paraId="539E6721" w14:textId="05B3176F"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Pr>
                <w:rFonts w:asciiTheme="majorBidi" w:hAnsiTheme="majorBidi" w:cstheme="majorBidi"/>
                <w:color w:val="000000"/>
                <w:sz w:val="18"/>
                <w:szCs w:val="18"/>
              </w:rPr>
              <w:t>16.6</w:t>
            </w:r>
          </w:p>
        </w:tc>
        <w:tc>
          <w:tcPr>
            <w:tcW w:w="2700" w:type="dxa"/>
            <w:shd w:val="clear" w:color="auto" w:fill="E2EFD9" w:themeFill="accent6" w:themeFillTint="33"/>
            <w:vAlign w:val="center"/>
          </w:tcPr>
          <w:p w14:paraId="7EE73B8B" w14:textId="2D6BDFFB" w:rsidR="007055C0" w:rsidRPr="00CA3C42" w:rsidRDefault="007055C0" w:rsidP="007055C0">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Pr>
                <w:rFonts w:asciiTheme="majorBidi" w:hAnsiTheme="majorBidi" w:cstheme="majorBidi"/>
                <w:color w:val="000000"/>
                <w:sz w:val="18"/>
                <w:szCs w:val="18"/>
              </w:rPr>
              <w:t>23.2</w:t>
            </w:r>
          </w:p>
        </w:tc>
      </w:tr>
    </w:tbl>
    <w:p w14:paraId="26EDC90A" w14:textId="77777777" w:rsidR="00B10BAC" w:rsidRDefault="00B10BAC" w:rsidP="00B10BAC">
      <w:pPr>
        <w:pStyle w:val="ListParagraph"/>
        <w:spacing w:after="0" w:line="240" w:lineRule="auto"/>
        <w:ind w:left="0"/>
        <w:jc w:val="both"/>
        <w:rPr>
          <w:rFonts w:asciiTheme="majorBidi" w:hAnsiTheme="majorBidi" w:cstheme="majorBidi"/>
          <w:sz w:val="16"/>
          <w:szCs w:val="16"/>
        </w:rPr>
      </w:pPr>
      <w:r w:rsidRPr="008945CA">
        <w:rPr>
          <w:rFonts w:asciiTheme="majorBidi" w:hAnsiTheme="majorBidi" w:cstheme="majorBidi"/>
          <w:sz w:val="16"/>
          <w:szCs w:val="16"/>
        </w:rPr>
        <w:t>Source: Socio-Economic Conditions Survey, 2018 - Main Findings, Ramallah – Palestine.</w:t>
      </w:r>
      <w:r>
        <w:rPr>
          <w:rFonts w:asciiTheme="majorBidi" w:hAnsiTheme="majorBidi" w:cstheme="majorBidi"/>
          <w:sz w:val="16"/>
          <w:szCs w:val="16"/>
        </w:rPr>
        <w:t xml:space="preserve"> </w:t>
      </w:r>
      <w:r w:rsidRPr="00C919F0">
        <w:rPr>
          <w:rFonts w:asciiTheme="majorBidi" w:hAnsiTheme="majorBidi" w:cstheme="majorBidi"/>
          <w:sz w:val="16"/>
          <w:szCs w:val="16"/>
        </w:rPr>
        <w:t xml:space="preserve">Impact of COVID - 19 Pandemic (Coronavirus) on </w:t>
      </w:r>
    </w:p>
    <w:p w14:paraId="54D98C36" w14:textId="7471382E" w:rsidR="00F84A32" w:rsidRDefault="00B10BAC" w:rsidP="00B10BAC">
      <w:pPr>
        <w:pStyle w:val="ListParagraph"/>
        <w:spacing w:after="0" w:line="240" w:lineRule="auto"/>
        <w:ind w:left="0"/>
        <w:jc w:val="both"/>
        <w:rPr>
          <w:rFonts w:asciiTheme="majorBidi" w:hAnsiTheme="majorBidi" w:cstheme="majorBidi"/>
          <w:sz w:val="16"/>
          <w:szCs w:val="16"/>
        </w:rPr>
      </w:pPr>
      <w:proofErr w:type="gramStart"/>
      <w:r w:rsidRPr="00C919F0">
        <w:rPr>
          <w:rFonts w:asciiTheme="majorBidi" w:hAnsiTheme="majorBidi" w:cstheme="majorBidi"/>
          <w:sz w:val="16"/>
          <w:szCs w:val="16"/>
        </w:rPr>
        <w:t>the</w:t>
      </w:r>
      <w:proofErr w:type="gramEnd"/>
      <w:r w:rsidRPr="00C919F0">
        <w:rPr>
          <w:rFonts w:asciiTheme="majorBidi" w:hAnsiTheme="majorBidi" w:cstheme="majorBidi"/>
          <w:sz w:val="16"/>
          <w:szCs w:val="16"/>
        </w:rPr>
        <w:t xml:space="preserve"> Socio-eco</w:t>
      </w:r>
      <w:r>
        <w:rPr>
          <w:rFonts w:asciiTheme="majorBidi" w:hAnsiTheme="majorBidi" w:cstheme="majorBidi"/>
          <w:sz w:val="16"/>
          <w:szCs w:val="16"/>
        </w:rPr>
        <w:t xml:space="preserve">nomic Conditions of Palestinian </w:t>
      </w:r>
      <w:r w:rsidRPr="00C919F0">
        <w:rPr>
          <w:rFonts w:asciiTheme="majorBidi" w:hAnsiTheme="majorBidi" w:cstheme="majorBidi"/>
          <w:sz w:val="16"/>
          <w:szCs w:val="16"/>
        </w:rPr>
        <w:t>Households Survey (March-May), 2020</w:t>
      </w:r>
      <w:r>
        <w:rPr>
          <w:rFonts w:asciiTheme="majorBidi" w:hAnsiTheme="majorBidi" w:cstheme="majorBidi"/>
          <w:sz w:val="16"/>
          <w:szCs w:val="16"/>
        </w:rPr>
        <w:t>.</w:t>
      </w:r>
    </w:p>
    <w:p w14:paraId="36852E4E" w14:textId="77777777" w:rsidR="007055C0" w:rsidRPr="00E85BBA" w:rsidRDefault="007055C0" w:rsidP="00B10BAC">
      <w:pPr>
        <w:pStyle w:val="ListParagraph"/>
        <w:spacing w:after="0" w:line="240" w:lineRule="auto"/>
        <w:ind w:left="0"/>
        <w:jc w:val="both"/>
        <w:rPr>
          <w:rFonts w:asciiTheme="majorBidi" w:eastAsia="Times New Roman" w:hAnsiTheme="majorBidi" w:cstheme="majorBidi"/>
          <w:sz w:val="24"/>
          <w:szCs w:val="24"/>
        </w:rPr>
      </w:pPr>
    </w:p>
    <w:p w14:paraId="479A7E99" w14:textId="76A732F7" w:rsidR="00035535" w:rsidRPr="00EA6545" w:rsidRDefault="007312AF" w:rsidP="003B3958">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r w:rsidRPr="00E85BBA">
        <w:rPr>
          <w:rFonts w:asciiTheme="majorBidi" w:eastAsia="Times New Roman" w:hAnsiTheme="majorBidi" w:cstheme="majorBidi"/>
          <w:sz w:val="24"/>
          <w:szCs w:val="24"/>
        </w:rPr>
        <w:t>results</w:t>
      </w:r>
      <w:r>
        <w:rPr>
          <w:rFonts w:asciiTheme="majorBidi" w:eastAsia="Times New Roman" w:hAnsiTheme="majorBidi" w:cstheme="majorBidi"/>
          <w:sz w:val="24"/>
          <w:szCs w:val="24"/>
        </w:rPr>
        <w:t xml:space="preserve"> show high values in response rate in favor of COVID-19 survey</w:t>
      </w:r>
      <w:r w:rsidR="007055C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7055C0">
        <w:rPr>
          <w:rFonts w:asciiTheme="majorBidi" w:eastAsia="Times New Roman" w:hAnsiTheme="majorBidi" w:cstheme="majorBidi"/>
          <w:sz w:val="24"/>
          <w:szCs w:val="24"/>
        </w:rPr>
        <w:t>t</w:t>
      </w:r>
      <w:r>
        <w:rPr>
          <w:rFonts w:asciiTheme="majorBidi" w:eastAsia="Times New Roman" w:hAnsiTheme="majorBidi" w:cstheme="majorBidi"/>
          <w:sz w:val="24"/>
          <w:szCs w:val="24"/>
        </w:rPr>
        <w:t xml:space="preserve">his </w:t>
      </w:r>
      <w:proofErr w:type="gramStart"/>
      <w:r>
        <w:rPr>
          <w:rFonts w:asciiTheme="majorBidi" w:eastAsia="Times New Roman" w:hAnsiTheme="majorBidi" w:cstheme="majorBidi"/>
          <w:sz w:val="24"/>
          <w:szCs w:val="24"/>
        </w:rPr>
        <w:t>can be explained</w:t>
      </w:r>
      <w:proofErr w:type="gramEnd"/>
      <w:r>
        <w:rPr>
          <w:rFonts w:asciiTheme="majorBidi" w:eastAsia="Times New Roman" w:hAnsiTheme="majorBidi" w:cstheme="majorBidi"/>
          <w:sz w:val="24"/>
          <w:szCs w:val="24"/>
        </w:rPr>
        <w:t xml:space="preserve"> by the period of which this survey was conducted</w:t>
      </w:r>
      <w:r w:rsidR="00211060">
        <w:rPr>
          <w:rFonts w:asciiTheme="majorBidi" w:eastAsia="Times New Roman" w:hAnsiTheme="majorBidi" w:cstheme="majorBidi"/>
          <w:sz w:val="24"/>
          <w:szCs w:val="24"/>
        </w:rPr>
        <w:t xml:space="preserve"> in</w:t>
      </w:r>
      <w:r>
        <w:rPr>
          <w:rFonts w:asciiTheme="majorBidi" w:eastAsia="Times New Roman" w:hAnsiTheme="majorBidi" w:cstheme="majorBidi"/>
          <w:sz w:val="24"/>
          <w:szCs w:val="24"/>
        </w:rPr>
        <w:t xml:space="preserve">. Due to the lockdowns across Palestine in that period, many households were forced to stay home. In this sense, </w:t>
      </w:r>
      <w:r w:rsidR="003B3958">
        <w:rPr>
          <w:rFonts w:asciiTheme="majorBidi" w:eastAsia="Times New Roman" w:hAnsiTheme="majorBidi" w:cstheme="majorBidi"/>
          <w:sz w:val="24"/>
          <w:szCs w:val="24"/>
        </w:rPr>
        <w:t>one</w:t>
      </w:r>
      <w:r>
        <w:rPr>
          <w:rFonts w:asciiTheme="majorBidi" w:eastAsia="Times New Roman" w:hAnsiTheme="majorBidi" w:cstheme="majorBidi"/>
          <w:sz w:val="24"/>
          <w:szCs w:val="24"/>
        </w:rPr>
        <w:t xml:space="preserve"> can come </w:t>
      </w:r>
      <w:r w:rsidR="001806FA">
        <w:rPr>
          <w:rFonts w:asciiTheme="majorBidi" w:eastAsia="Times New Roman" w:hAnsiTheme="majorBidi" w:cstheme="majorBidi"/>
          <w:sz w:val="24"/>
          <w:szCs w:val="24"/>
        </w:rPr>
        <w:t xml:space="preserve">up with </w:t>
      </w:r>
      <w:r>
        <w:rPr>
          <w:rFonts w:asciiTheme="majorBidi" w:eastAsia="Times New Roman" w:hAnsiTheme="majorBidi" w:cstheme="majorBidi"/>
          <w:sz w:val="24"/>
          <w:szCs w:val="24"/>
        </w:rPr>
        <w:t xml:space="preserve">a theoretical conclusion that </w:t>
      </w:r>
      <w:r w:rsidR="001806FA">
        <w:rPr>
          <w:rFonts w:asciiTheme="majorBidi" w:eastAsia="Times New Roman" w:hAnsiTheme="majorBidi" w:cstheme="majorBidi"/>
          <w:sz w:val="24"/>
          <w:szCs w:val="24"/>
        </w:rPr>
        <w:t>household</w:t>
      </w:r>
      <w:r w:rsidR="003B3958">
        <w:rPr>
          <w:rFonts w:asciiTheme="majorBidi" w:eastAsia="Times New Roman" w:hAnsiTheme="majorBidi" w:cstheme="majorBidi"/>
          <w:sz w:val="24"/>
          <w:szCs w:val="24"/>
        </w:rPr>
        <w:t>s</w:t>
      </w:r>
      <w:r w:rsidR="001806FA">
        <w:rPr>
          <w:rFonts w:asciiTheme="majorBidi" w:eastAsia="Times New Roman" w:hAnsiTheme="majorBidi" w:cstheme="majorBidi"/>
          <w:sz w:val="24"/>
          <w:szCs w:val="24"/>
        </w:rPr>
        <w:t xml:space="preserve"> </w:t>
      </w:r>
      <w:r w:rsidR="003B3958">
        <w:rPr>
          <w:rFonts w:asciiTheme="majorBidi" w:eastAsia="Times New Roman" w:hAnsiTheme="majorBidi" w:cstheme="majorBidi"/>
          <w:sz w:val="24"/>
          <w:szCs w:val="24"/>
        </w:rPr>
        <w:t>were</w:t>
      </w:r>
      <w:r w:rsidR="001806FA">
        <w:rPr>
          <w:rFonts w:asciiTheme="majorBidi" w:eastAsia="Times New Roman" w:hAnsiTheme="majorBidi" w:cstheme="majorBidi"/>
          <w:sz w:val="24"/>
          <w:szCs w:val="24"/>
        </w:rPr>
        <w:t xml:space="preserve"> more likely to be a respondent than a </w:t>
      </w:r>
      <w:proofErr w:type="gramStart"/>
      <w:r w:rsidR="003B3958">
        <w:rPr>
          <w:rFonts w:asciiTheme="majorBidi" w:eastAsia="Times New Roman" w:hAnsiTheme="majorBidi" w:cstheme="majorBidi"/>
          <w:sz w:val="24"/>
          <w:szCs w:val="24"/>
        </w:rPr>
        <w:t>non-respondent</w:t>
      </w:r>
      <w:proofErr w:type="gramEnd"/>
      <w:r w:rsidR="009F1910">
        <w:rPr>
          <w:rFonts w:asciiTheme="majorBidi" w:eastAsia="Times New Roman" w:hAnsiTheme="majorBidi" w:cstheme="majorBidi"/>
          <w:sz w:val="24"/>
          <w:szCs w:val="24"/>
        </w:rPr>
        <w:t>.</w:t>
      </w:r>
      <w:r w:rsidR="00FA5048" w:rsidRPr="00FA5048">
        <w:rPr>
          <w:rFonts w:asciiTheme="majorBidi" w:eastAsia="Times New Roman" w:hAnsiTheme="majorBidi" w:cstheme="majorBidi"/>
          <w:sz w:val="24"/>
          <w:szCs w:val="24"/>
        </w:rPr>
        <w:t xml:space="preserve"> </w:t>
      </w:r>
      <w:r w:rsidR="007055C0">
        <w:rPr>
          <w:rFonts w:asciiTheme="majorBidi" w:eastAsia="Times New Roman" w:hAnsiTheme="majorBidi" w:cstheme="majorBidi"/>
          <w:sz w:val="24"/>
          <w:szCs w:val="24"/>
        </w:rPr>
        <w:t xml:space="preserve">On the other </w:t>
      </w:r>
      <w:r w:rsidR="004545F7">
        <w:rPr>
          <w:rFonts w:asciiTheme="majorBidi" w:eastAsia="Times New Roman" w:hAnsiTheme="majorBidi" w:cstheme="majorBidi"/>
          <w:sz w:val="24"/>
          <w:szCs w:val="24"/>
        </w:rPr>
        <w:t>hand,</w:t>
      </w:r>
      <w:r w:rsidR="007055C0">
        <w:rPr>
          <w:rFonts w:asciiTheme="majorBidi" w:eastAsia="Times New Roman" w:hAnsiTheme="majorBidi" w:cstheme="majorBidi"/>
          <w:sz w:val="24"/>
          <w:szCs w:val="24"/>
        </w:rPr>
        <w:t xml:space="preserve"> </w:t>
      </w:r>
      <w:r w:rsidR="004545F7">
        <w:rPr>
          <w:rFonts w:asciiTheme="majorBidi" w:eastAsia="Times New Roman" w:hAnsiTheme="majorBidi" w:cstheme="majorBidi"/>
          <w:sz w:val="24"/>
          <w:szCs w:val="24"/>
        </w:rPr>
        <w:t>the</w:t>
      </w:r>
      <w:r w:rsidR="00FA5048">
        <w:rPr>
          <w:rFonts w:asciiTheme="majorBidi" w:eastAsia="Times New Roman" w:hAnsiTheme="majorBidi" w:cstheme="majorBidi"/>
          <w:sz w:val="24"/>
          <w:szCs w:val="24"/>
        </w:rPr>
        <w:t xml:space="preserve"> </w:t>
      </w:r>
      <w:r w:rsidR="007C6E33">
        <w:rPr>
          <w:rFonts w:asciiTheme="majorBidi" w:eastAsia="Times New Roman" w:hAnsiTheme="majorBidi" w:cstheme="majorBidi"/>
          <w:sz w:val="24"/>
          <w:szCs w:val="24"/>
        </w:rPr>
        <w:t>LFS</w:t>
      </w:r>
      <w:r w:rsidR="004545F7">
        <w:rPr>
          <w:rFonts w:asciiTheme="majorBidi" w:eastAsia="Times New Roman" w:hAnsiTheme="majorBidi" w:cstheme="majorBidi"/>
          <w:sz w:val="24"/>
          <w:szCs w:val="24"/>
        </w:rPr>
        <w:t xml:space="preserve"> of 2020 cycle showed </w:t>
      </w:r>
      <w:r w:rsidR="003B3958">
        <w:rPr>
          <w:rFonts w:asciiTheme="majorBidi" w:eastAsia="Times New Roman" w:hAnsiTheme="majorBidi" w:cstheme="majorBidi"/>
          <w:sz w:val="24"/>
          <w:szCs w:val="24"/>
        </w:rPr>
        <w:t>a higher non-</w:t>
      </w:r>
      <w:r w:rsidR="00FA5048">
        <w:rPr>
          <w:rFonts w:asciiTheme="majorBidi" w:eastAsia="Times New Roman" w:hAnsiTheme="majorBidi" w:cstheme="majorBidi"/>
          <w:sz w:val="24"/>
          <w:szCs w:val="24"/>
        </w:rPr>
        <w:t xml:space="preserve">response rate </w:t>
      </w:r>
      <w:r w:rsidR="004545F7">
        <w:rPr>
          <w:rFonts w:asciiTheme="majorBidi" w:eastAsia="Times New Roman" w:hAnsiTheme="majorBidi" w:cstheme="majorBidi"/>
          <w:sz w:val="24"/>
          <w:szCs w:val="24"/>
        </w:rPr>
        <w:t xml:space="preserve">than the one of 2019, </w:t>
      </w:r>
      <w:r w:rsidR="004545F7" w:rsidRPr="003B3958">
        <w:rPr>
          <w:rFonts w:asciiTheme="majorBidi" w:eastAsia="Times New Roman" w:hAnsiTheme="majorBidi" w:cstheme="majorBidi"/>
          <w:sz w:val="24"/>
          <w:szCs w:val="24"/>
        </w:rPr>
        <w:t xml:space="preserve">which </w:t>
      </w:r>
      <w:r w:rsidR="001B17A3" w:rsidRPr="003B3958">
        <w:rPr>
          <w:rFonts w:asciiTheme="majorBidi" w:eastAsia="Times New Roman" w:hAnsiTheme="majorBidi" w:cstheme="majorBidi"/>
          <w:sz w:val="24"/>
          <w:szCs w:val="24"/>
        </w:rPr>
        <w:t xml:space="preserve">may refer to the </w:t>
      </w:r>
      <w:r w:rsidR="003B3958">
        <w:rPr>
          <w:rFonts w:asciiTheme="majorBidi" w:eastAsia="Times New Roman" w:hAnsiTheme="majorBidi" w:cstheme="majorBidi"/>
          <w:sz w:val="24"/>
          <w:szCs w:val="24"/>
        </w:rPr>
        <w:t>presence</w:t>
      </w:r>
      <w:r w:rsidR="001B17A3" w:rsidRPr="003B3958">
        <w:rPr>
          <w:rFonts w:asciiTheme="majorBidi" w:eastAsia="Times New Roman" w:hAnsiTheme="majorBidi" w:cstheme="majorBidi"/>
          <w:sz w:val="24"/>
          <w:szCs w:val="24"/>
        </w:rPr>
        <w:t xml:space="preserve"> of non-</w:t>
      </w:r>
      <w:r w:rsidR="003B3958" w:rsidRPr="003B3958">
        <w:rPr>
          <w:rFonts w:asciiTheme="majorBidi" w:eastAsia="Times New Roman" w:hAnsiTheme="majorBidi" w:cstheme="majorBidi"/>
          <w:sz w:val="24"/>
          <w:szCs w:val="24"/>
        </w:rPr>
        <w:t>response</w:t>
      </w:r>
      <w:r w:rsidR="001B17A3" w:rsidRPr="003B3958">
        <w:rPr>
          <w:rFonts w:asciiTheme="majorBidi" w:eastAsia="Times New Roman" w:hAnsiTheme="majorBidi" w:cstheme="majorBidi"/>
          <w:sz w:val="24"/>
          <w:szCs w:val="24"/>
        </w:rPr>
        <w:t xml:space="preserve"> cases associated to </w:t>
      </w:r>
      <w:r w:rsidR="003B3958" w:rsidRPr="003B3958">
        <w:rPr>
          <w:rFonts w:asciiTheme="majorBidi" w:eastAsia="Times New Roman" w:hAnsiTheme="majorBidi" w:cstheme="majorBidi"/>
          <w:sz w:val="24"/>
          <w:szCs w:val="24"/>
        </w:rPr>
        <w:t>non-reachable</w:t>
      </w:r>
      <w:r w:rsidR="001B17A3" w:rsidRPr="003B3958">
        <w:rPr>
          <w:rFonts w:asciiTheme="majorBidi" w:eastAsia="Times New Roman" w:hAnsiTheme="majorBidi" w:cstheme="majorBidi"/>
          <w:sz w:val="24"/>
          <w:szCs w:val="24"/>
        </w:rPr>
        <w:t xml:space="preserve"> households due to wrong dialed numbers</w:t>
      </w:r>
      <w:r w:rsidR="004545F7" w:rsidRPr="003B3958">
        <w:rPr>
          <w:rFonts w:asciiTheme="majorBidi" w:eastAsia="Times New Roman" w:hAnsiTheme="majorBidi" w:cstheme="majorBidi"/>
          <w:sz w:val="24"/>
          <w:szCs w:val="24"/>
        </w:rPr>
        <w:t>.</w:t>
      </w:r>
      <w:r w:rsidR="004545F7">
        <w:rPr>
          <w:rFonts w:asciiTheme="majorBidi" w:eastAsia="Times New Roman" w:hAnsiTheme="majorBidi" w:cstheme="majorBidi"/>
          <w:sz w:val="24"/>
          <w:szCs w:val="24"/>
        </w:rPr>
        <w:t xml:space="preserve"> Yet. Th</w:t>
      </w:r>
      <w:r w:rsidR="00CC3AAA">
        <w:rPr>
          <w:rFonts w:asciiTheme="majorBidi" w:eastAsia="Times New Roman" w:hAnsiTheme="majorBidi" w:cstheme="majorBidi"/>
          <w:sz w:val="24"/>
          <w:szCs w:val="24"/>
        </w:rPr>
        <w:t xml:space="preserve">e response rate of </w:t>
      </w:r>
      <w:r w:rsidR="001709C8">
        <w:rPr>
          <w:rFonts w:asciiTheme="majorBidi" w:eastAsia="Times New Roman" w:hAnsiTheme="majorBidi" w:cstheme="majorBidi"/>
          <w:sz w:val="24"/>
          <w:szCs w:val="24"/>
        </w:rPr>
        <w:t>LF</w:t>
      </w:r>
      <w:r w:rsidR="007C6E33">
        <w:rPr>
          <w:rFonts w:asciiTheme="majorBidi" w:eastAsia="Times New Roman" w:hAnsiTheme="majorBidi" w:cstheme="majorBidi"/>
          <w:sz w:val="24"/>
          <w:szCs w:val="24"/>
        </w:rPr>
        <w:t>S</w:t>
      </w:r>
      <w:r w:rsidR="00CC3AAA" w:rsidRPr="00CC3AAA">
        <w:rPr>
          <w:rFonts w:asciiTheme="majorBidi" w:eastAsia="Times New Roman" w:hAnsiTheme="majorBidi" w:cstheme="majorBidi"/>
          <w:sz w:val="24"/>
          <w:szCs w:val="24"/>
        </w:rPr>
        <w:t xml:space="preserve"> 2020</w:t>
      </w:r>
      <w:r w:rsidR="00CC3AAA">
        <w:rPr>
          <w:rFonts w:asciiTheme="majorBidi" w:eastAsia="Times New Roman" w:hAnsiTheme="majorBidi" w:cstheme="majorBidi"/>
          <w:sz w:val="24"/>
          <w:szCs w:val="24"/>
        </w:rPr>
        <w:t xml:space="preserve"> </w:t>
      </w:r>
      <w:r w:rsidR="00FA5048">
        <w:rPr>
          <w:rFonts w:asciiTheme="majorBidi" w:eastAsia="Times New Roman" w:hAnsiTheme="majorBidi" w:cstheme="majorBidi"/>
          <w:sz w:val="24"/>
          <w:szCs w:val="24"/>
        </w:rPr>
        <w:t xml:space="preserve">indicates </w:t>
      </w:r>
      <w:r w:rsidR="00490081" w:rsidRPr="00E85BBA">
        <w:rPr>
          <w:rFonts w:asciiTheme="majorBidi" w:eastAsia="Times New Roman" w:hAnsiTheme="majorBidi" w:cstheme="majorBidi"/>
          <w:sz w:val="24"/>
          <w:szCs w:val="24"/>
        </w:rPr>
        <w:t xml:space="preserve">that the sample itself is </w:t>
      </w:r>
      <w:r w:rsidR="00211060">
        <w:rPr>
          <w:rFonts w:asciiTheme="majorBidi" w:eastAsia="Times New Roman" w:hAnsiTheme="majorBidi" w:cstheme="majorBidi"/>
          <w:sz w:val="24"/>
          <w:szCs w:val="24"/>
        </w:rPr>
        <w:t xml:space="preserve">representative and the possibility of a bias is very slight when comparing </w:t>
      </w:r>
      <w:r w:rsidR="007055C0">
        <w:rPr>
          <w:rFonts w:asciiTheme="majorBidi" w:eastAsia="Times New Roman" w:hAnsiTheme="majorBidi" w:cstheme="majorBidi"/>
          <w:sz w:val="24"/>
          <w:szCs w:val="24"/>
        </w:rPr>
        <w:t xml:space="preserve">to </w:t>
      </w:r>
      <w:r w:rsidR="00211060">
        <w:rPr>
          <w:rFonts w:asciiTheme="majorBidi" w:eastAsia="Times New Roman" w:hAnsiTheme="majorBidi" w:cstheme="majorBidi"/>
          <w:sz w:val="24"/>
          <w:szCs w:val="24"/>
        </w:rPr>
        <w:t xml:space="preserve">the non-response rate of </w:t>
      </w:r>
      <w:r w:rsidR="001709C8">
        <w:rPr>
          <w:rFonts w:asciiTheme="majorBidi" w:eastAsia="Times New Roman" w:hAnsiTheme="majorBidi" w:cstheme="majorBidi"/>
          <w:sz w:val="24"/>
          <w:szCs w:val="24"/>
        </w:rPr>
        <w:t>LF</w:t>
      </w:r>
      <w:r w:rsidR="007C6E33">
        <w:rPr>
          <w:rFonts w:asciiTheme="majorBidi" w:eastAsia="Times New Roman" w:hAnsiTheme="majorBidi" w:cstheme="majorBidi"/>
          <w:sz w:val="24"/>
          <w:szCs w:val="24"/>
        </w:rPr>
        <w:t xml:space="preserve">S </w:t>
      </w:r>
      <w:r w:rsidR="00211060">
        <w:rPr>
          <w:rFonts w:asciiTheme="majorBidi" w:eastAsia="Times New Roman" w:hAnsiTheme="majorBidi" w:cstheme="majorBidi"/>
          <w:sz w:val="24"/>
          <w:szCs w:val="24"/>
        </w:rPr>
        <w:t xml:space="preserve">with some of the European Union’s countries </w:t>
      </w:r>
      <w:r w:rsidR="00035535">
        <w:rPr>
          <w:rFonts w:asciiTheme="majorBidi" w:eastAsia="Times New Roman" w:hAnsiTheme="majorBidi" w:cstheme="majorBidi"/>
          <w:sz w:val="24"/>
          <w:szCs w:val="24"/>
        </w:rPr>
        <w:t xml:space="preserve">such as </w:t>
      </w:r>
      <w:r w:rsidR="00035535" w:rsidRPr="00EA6545">
        <w:rPr>
          <w:rFonts w:asciiTheme="majorBidi" w:eastAsia="Times New Roman" w:hAnsiTheme="majorBidi" w:cstheme="majorBidi"/>
          <w:sz w:val="24"/>
          <w:szCs w:val="24"/>
        </w:rPr>
        <w:t>Sweden (43.4), Denmark (45.0), and Netherlands (48.4)</w:t>
      </w:r>
      <w:r w:rsidR="00035535" w:rsidRPr="00EA6545">
        <w:rPr>
          <w:rFonts w:asciiTheme="majorBidi" w:eastAsia="Times New Roman" w:hAnsiTheme="majorBidi" w:cstheme="majorBidi"/>
          <w:sz w:val="24"/>
          <w:szCs w:val="24"/>
          <w:vertAlign w:val="superscript"/>
        </w:rPr>
        <w:footnoteReference w:id="8"/>
      </w:r>
      <w:r w:rsidR="001709C8">
        <w:rPr>
          <w:rFonts w:asciiTheme="majorBidi" w:eastAsia="Times New Roman" w:hAnsiTheme="majorBidi" w:cstheme="majorBidi"/>
          <w:sz w:val="24"/>
          <w:szCs w:val="24"/>
        </w:rPr>
        <w:t xml:space="preserve">, as 46.8% of the European Union’s conducted the LFS through CATI mode of data collection in 2016 </w:t>
      </w:r>
      <w:r w:rsidR="00C4587E">
        <w:rPr>
          <w:rFonts w:asciiTheme="majorBidi" w:eastAsia="Times New Roman" w:hAnsiTheme="majorBidi" w:cstheme="majorBidi"/>
          <w:sz w:val="24"/>
          <w:szCs w:val="24"/>
        </w:rPr>
        <w:t>–</w:t>
      </w:r>
      <w:r w:rsidR="001709C8">
        <w:rPr>
          <w:rFonts w:asciiTheme="majorBidi" w:eastAsia="Times New Roman" w:hAnsiTheme="majorBidi" w:cstheme="majorBidi"/>
          <w:sz w:val="24"/>
          <w:szCs w:val="24"/>
        </w:rPr>
        <w:t xml:space="preserve"> 2017</w:t>
      </w:r>
      <w:r w:rsidR="00C4587E">
        <w:rPr>
          <w:rFonts w:asciiTheme="majorBidi" w:eastAsia="Times New Roman" w:hAnsiTheme="majorBidi" w:cstheme="majorBidi"/>
          <w:sz w:val="24"/>
          <w:szCs w:val="24"/>
        </w:rPr>
        <w:t xml:space="preserve">, based on the </w:t>
      </w:r>
      <w:r w:rsidR="00C4587E" w:rsidRPr="006839F4">
        <w:rPr>
          <w:rFonts w:asciiTheme="majorBidi" w:hAnsiTheme="majorBidi" w:cstheme="majorBidi"/>
        </w:rPr>
        <w:t>Quality report of the European Union Labor Force Survey 2017</w:t>
      </w:r>
      <w:r w:rsidR="00C4587E">
        <w:rPr>
          <w:rFonts w:asciiTheme="majorBidi" w:hAnsiTheme="majorBidi" w:cstheme="majorBidi"/>
        </w:rPr>
        <w:t>.</w:t>
      </w:r>
    </w:p>
    <w:p w14:paraId="3F2EB635" w14:textId="77777777" w:rsidR="00320D71" w:rsidRPr="00E85BBA" w:rsidRDefault="00320D71" w:rsidP="005A3732">
      <w:pPr>
        <w:spacing w:after="0" w:line="240" w:lineRule="auto"/>
        <w:jc w:val="both"/>
        <w:rPr>
          <w:rFonts w:asciiTheme="majorBidi" w:eastAsia="Times New Roman" w:hAnsiTheme="majorBidi" w:cstheme="majorBidi"/>
          <w:sz w:val="24"/>
          <w:szCs w:val="24"/>
        </w:rPr>
      </w:pPr>
    </w:p>
    <w:p w14:paraId="471C386B" w14:textId="77777777" w:rsidR="00EF36C6" w:rsidRDefault="00F16A6E" w:rsidP="005A3732">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In general</w:t>
      </w:r>
      <w:r w:rsidR="00320D71" w:rsidRPr="00E85BBA">
        <w:rPr>
          <w:rFonts w:asciiTheme="majorBidi" w:eastAsia="Times New Roman" w:hAnsiTheme="majorBidi" w:cstheme="majorBidi"/>
          <w:sz w:val="24"/>
          <w:szCs w:val="24"/>
        </w:rPr>
        <w:t xml:space="preserve">, we can conclude that data quality </w:t>
      </w:r>
      <w:r w:rsidR="007A46F6">
        <w:rPr>
          <w:rFonts w:asciiTheme="majorBidi" w:eastAsia="Times New Roman" w:hAnsiTheme="majorBidi" w:cstheme="majorBidi"/>
          <w:sz w:val="24"/>
          <w:szCs w:val="24"/>
        </w:rPr>
        <w:t>is</w:t>
      </w:r>
      <w:r w:rsidR="007A46F6" w:rsidRPr="00E85BBA">
        <w:rPr>
          <w:rFonts w:asciiTheme="majorBidi" w:eastAsia="Times New Roman" w:hAnsiTheme="majorBidi" w:cstheme="majorBidi"/>
          <w:sz w:val="24"/>
          <w:szCs w:val="24"/>
        </w:rPr>
        <w:t xml:space="preserve"> not</w:t>
      </w:r>
      <w:r w:rsidR="00320D71" w:rsidRPr="00E85BBA">
        <w:rPr>
          <w:rFonts w:asciiTheme="majorBidi" w:eastAsia="Times New Roman" w:hAnsiTheme="majorBidi" w:cstheme="majorBidi"/>
          <w:sz w:val="24"/>
          <w:szCs w:val="24"/>
        </w:rPr>
        <w:t xml:space="preserve"> significantly </w:t>
      </w:r>
      <w:r w:rsidR="00444E23">
        <w:rPr>
          <w:rFonts w:asciiTheme="majorBidi" w:eastAsia="Times New Roman" w:hAnsiTheme="majorBidi" w:cstheme="majorBidi"/>
          <w:sz w:val="24"/>
          <w:szCs w:val="24"/>
        </w:rPr>
        <w:t>affected by using CATI approach. O</w:t>
      </w:r>
      <w:r w:rsidR="00320D71" w:rsidRPr="00E85BBA">
        <w:rPr>
          <w:rFonts w:asciiTheme="majorBidi" w:eastAsia="Times New Roman" w:hAnsiTheme="majorBidi" w:cstheme="majorBidi"/>
          <w:sz w:val="24"/>
          <w:szCs w:val="24"/>
        </w:rPr>
        <w:t xml:space="preserve">n the contrary, </w:t>
      </w:r>
      <w:r w:rsidR="009F1910">
        <w:rPr>
          <w:rFonts w:asciiTheme="majorBidi" w:eastAsia="Times New Roman" w:hAnsiTheme="majorBidi" w:cstheme="majorBidi"/>
          <w:sz w:val="24"/>
          <w:szCs w:val="24"/>
        </w:rPr>
        <w:t>results of both data assessment and data measurement</w:t>
      </w:r>
      <w:r w:rsidR="00320D71" w:rsidRPr="00E85BBA">
        <w:rPr>
          <w:rFonts w:asciiTheme="majorBidi" w:eastAsia="Times New Roman" w:hAnsiTheme="majorBidi" w:cstheme="majorBidi"/>
          <w:sz w:val="24"/>
          <w:szCs w:val="24"/>
        </w:rPr>
        <w:t xml:space="preserve"> </w:t>
      </w:r>
      <w:r w:rsidR="009F1910">
        <w:rPr>
          <w:rFonts w:asciiTheme="majorBidi" w:eastAsia="Times New Roman" w:hAnsiTheme="majorBidi" w:cstheme="majorBidi"/>
          <w:sz w:val="24"/>
          <w:szCs w:val="24"/>
        </w:rPr>
        <w:t xml:space="preserve">of the accuracy dimension, </w:t>
      </w:r>
      <w:r w:rsidR="00320D71" w:rsidRPr="00E85BBA">
        <w:rPr>
          <w:rFonts w:asciiTheme="majorBidi" w:eastAsia="Times New Roman" w:hAnsiTheme="majorBidi" w:cstheme="majorBidi"/>
          <w:sz w:val="24"/>
          <w:szCs w:val="24"/>
        </w:rPr>
        <w:t xml:space="preserve">showed that this </w:t>
      </w:r>
      <w:r w:rsidR="009F1910">
        <w:rPr>
          <w:rFonts w:asciiTheme="majorBidi" w:eastAsia="Times New Roman" w:hAnsiTheme="majorBidi" w:cstheme="majorBidi"/>
          <w:sz w:val="24"/>
          <w:szCs w:val="24"/>
        </w:rPr>
        <w:t>mode</w:t>
      </w:r>
      <w:r w:rsidR="00320D71" w:rsidRPr="00E85BBA">
        <w:rPr>
          <w:rFonts w:asciiTheme="majorBidi" w:eastAsia="Times New Roman" w:hAnsiTheme="majorBidi" w:cstheme="majorBidi"/>
          <w:sz w:val="24"/>
          <w:szCs w:val="24"/>
        </w:rPr>
        <w:t xml:space="preserve"> </w:t>
      </w:r>
      <w:r w:rsidR="00FD1ECC">
        <w:rPr>
          <w:rFonts w:asciiTheme="majorBidi" w:eastAsia="Times New Roman" w:hAnsiTheme="majorBidi" w:cstheme="majorBidi"/>
          <w:sz w:val="24"/>
          <w:szCs w:val="24"/>
        </w:rPr>
        <w:t xml:space="preserve">is of a good quality as CAPI </w:t>
      </w:r>
      <w:r w:rsidR="009F1910">
        <w:rPr>
          <w:rFonts w:asciiTheme="majorBidi" w:eastAsia="Times New Roman" w:hAnsiTheme="majorBidi" w:cstheme="majorBidi"/>
          <w:sz w:val="24"/>
          <w:szCs w:val="24"/>
        </w:rPr>
        <w:t>mode</w:t>
      </w:r>
      <w:r w:rsidR="00FD1ECC">
        <w:rPr>
          <w:rFonts w:asciiTheme="majorBidi" w:eastAsia="Times New Roman" w:hAnsiTheme="majorBidi" w:cstheme="majorBidi"/>
          <w:sz w:val="24"/>
          <w:szCs w:val="24"/>
        </w:rPr>
        <w:t>. However</w:t>
      </w:r>
      <w:r w:rsidR="002B04B6">
        <w:rPr>
          <w:rFonts w:asciiTheme="majorBidi" w:eastAsia="Times New Roman" w:hAnsiTheme="majorBidi" w:cstheme="majorBidi"/>
          <w:sz w:val="24"/>
          <w:szCs w:val="24"/>
        </w:rPr>
        <w:t xml:space="preserve">, </w:t>
      </w:r>
      <w:r w:rsidR="007A46F6">
        <w:rPr>
          <w:rFonts w:asciiTheme="majorBidi" w:eastAsia="Times New Roman" w:hAnsiTheme="majorBidi" w:cstheme="majorBidi"/>
          <w:sz w:val="24"/>
          <w:szCs w:val="24"/>
        </w:rPr>
        <w:t>several constraints</w:t>
      </w:r>
      <w:r w:rsidR="002B04B6">
        <w:rPr>
          <w:rFonts w:asciiTheme="majorBidi" w:eastAsia="Times New Roman" w:hAnsiTheme="majorBidi" w:cstheme="majorBidi"/>
          <w:sz w:val="24"/>
          <w:szCs w:val="24"/>
        </w:rPr>
        <w:t xml:space="preserve"> can affect data quality of CATI-based surveys other than the one we discussed in this paper. One of the important indicators </w:t>
      </w:r>
      <w:r w:rsidR="001F4ED5">
        <w:rPr>
          <w:rFonts w:asciiTheme="majorBidi" w:eastAsia="Times New Roman" w:hAnsiTheme="majorBidi" w:cstheme="majorBidi"/>
          <w:sz w:val="24"/>
          <w:szCs w:val="24"/>
        </w:rPr>
        <w:t xml:space="preserve">must be taken into account regarding </w:t>
      </w:r>
      <w:r w:rsidR="002B04B6">
        <w:rPr>
          <w:rFonts w:asciiTheme="majorBidi" w:eastAsia="Times New Roman" w:hAnsiTheme="majorBidi" w:cstheme="majorBidi"/>
          <w:sz w:val="24"/>
          <w:szCs w:val="24"/>
        </w:rPr>
        <w:t xml:space="preserve">data quality is </w:t>
      </w:r>
      <w:r w:rsidR="002B04B6" w:rsidRPr="002B04B6">
        <w:rPr>
          <w:rFonts w:asciiTheme="majorBidi" w:eastAsia="Times New Roman" w:hAnsiTheme="majorBidi" w:cstheme="majorBidi"/>
          <w:sz w:val="24"/>
          <w:szCs w:val="24"/>
        </w:rPr>
        <w:t>the response burden</w:t>
      </w:r>
      <w:r w:rsidR="00733846">
        <w:rPr>
          <w:rFonts w:asciiTheme="majorBidi" w:eastAsia="Times New Roman" w:hAnsiTheme="majorBidi" w:cstheme="majorBidi"/>
          <w:sz w:val="24"/>
          <w:szCs w:val="24"/>
        </w:rPr>
        <w:t xml:space="preserve"> indicator</w:t>
      </w:r>
      <w:r w:rsidR="001F4ED5">
        <w:rPr>
          <w:rStyle w:val="FootnoteReference"/>
          <w:rFonts w:asciiTheme="majorBidi" w:eastAsia="Times New Roman" w:hAnsiTheme="majorBidi" w:cstheme="majorBidi"/>
          <w:sz w:val="24"/>
          <w:szCs w:val="24"/>
        </w:rPr>
        <w:footnoteReference w:id="9"/>
      </w:r>
      <w:r w:rsidR="00733846">
        <w:rPr>
          <w:rFonts w:asciiTheme="majorBidi" w:eastAsia="Times New Roman" w:hAnsiTheme="majorBidi" w:cstheme="majorBidi"/>
          <w:sz w:val="24"/>
          <w:szCs w:val="24"/>
        </w:rPr>
        <w:t>, which is used to measure and compare</w:t>
      </w:r>
      <w:r w:rsidR="00733846" w:rsidRPr="00733846">
        <w:rPr>
          <w:rFonts w:asciiTheme="majorBidi" w:eastAsia="Times New Roman" w:hAnsiTheme="majorBidi" w:cstheme="majorBidi"/>
          <w:sz w:val="24"/>
          <w:szCs w:val="24"/>
        </w:rPr>
        <w:t xml:space="preserve"> the average length of completion of </w:t>
      </w:r>
      <w:r w:rsidR="00733846">
        <w:rPr>
          <w:rFonts w:asciiTheme="majorBidi" w:eastAsia="Times New Roman" w:hAnsiTheme="majorBidi" w:cstheme="majorBidi"/>
          <w:sz w:val="24"/>
          <w:szCs w:val="24"/>
        </w:rPr>
        <w:t>the</w:t>
      </w:r>
      <w:r w:rsidR="00733846" w:rsidRPr="00733846">
        <w:rPr>
          <w:rFonts w:asciiTheme="majorBidi" w:eastAsia="Times New Roman" w:hAnsiTheme="majorBidi" w:cstheme="majorBidi"/>
          <w:sz w:val="24"/>
          <w:szCs w:val="24"/>
        </w:rPr>
        <w:t xml:space="preserve"> questionnaire</w:t>
      </w:r>
      <w:r w:rsidR="00733846">
        <w:rPr>
          <w:rFonts w:asciiTheme="majorBidi" w:eastAsia="Times New Roman" w:hAnsiTheme="majorBidi" w:cstheme="majorBidi"/>
          <w:sz w:val="24"/>
          <w:szCs w:val="24"/>
        </w:rPr>
        <w:t xml:space="preserve">. This indicator is a </w:t>
      </w:r>
      <w:r w:rsidR="00444E23">
        <w:rPr>
          <w:rFonts w:asciiTheme="majorBidi" w:eastAsia="Times New Roman" w:hAnsiTheme="majorBidi" w:cstheme="majorBidi"/>
          <w:sz w:val="24"/>
          <w:szCs w:val="24"/>
        </w:rPr>
        <w:t>crucial</w:t>
      </w:r>
      <w:r w:rsidR="009F1910">
        <w:rPr>
          <w:rFonts w:asciiTheme="majorBidi" w:eastAsia="Times New Roman" w:hAnsiTheme="majorBidi" w:cstheme="majorBidi"/>
          <w:sz w:val="24"/>
          <w:szCs w:val="24"/>
        </w:rPr>
        <w:t xml:space="preserve"> one in assessing CATI-based</w:t>
      </w:r>
      <w:r w:rsidR="00733846">
        <w:rPr>
          <w:rFonts w:asciiTheme="majorBidi" w:eastAsia="Times New Roman" w:hAnsiTheme="majorBidi" w:cstheme="majorBidi"/>
          <w:sz w:val="24"/>
          <w:szCs w:val="24"/>
        </w:rPr>
        <w:t xml:space="preserve"> surveys as the length of the questionnaire plays a major role in the interview made by telephones, this we </w:t>
      </w:r>
      <w:r w:rsidR="002E23F4">
        <w:rPr>
          <w:rFonts w:asciiTheme="majorBidi" w:eastAsia="Times New Roman" w:hAnsiTheme="majorBidi" w:cstheme="majorBidi"/>
          <w:sz w:val="24"/>
          <w:szCs w:val="24"/>
        </w:rPr>
        <w:t>may</w:t>
      </w:r>
      <w:r w:rsidR="00733846">
        <w:rPr>
          <w:rFonts w:asciiTheme="majorBidi" w:eastAsia="Times New Roman" w:hAnsiTheme="majorBidi" w:cstheme="majorBidi"/>
          <w:sz w:val="24"/>
          <w:szCs w:val="24"/>
        </w:rPr>
        <w:t xml:space="preserve"> discuss in other studies </w:t>
      </w:r>
      <w:r w:rsidR="002E23F4">
        <w:rPr>
          <w:rFonts w:asciiTheme="majorBidi" w:eastAsia="Times New Roman" w:hAnsiTheme="majorBidi" w:cstheme="majorBidi"/>
          <w:sz w:val="24"/>
          <w:szCs w:val="24"/>
        </w:rPr>
        <w:t>or</w:t>
      </w:r>
      <w:r w:rsidR="00733846">
        <w:rPr>
          <w:rFonts w:asciiTheme="majorBidi" w:eastAsia="Times New Roman" w:hAnsiTheme="majorBidi" w:cstheme="majorBidi"/>
          <w:sz w:val="24"/>
          <w:szCs w:val="24"/>
        </w:rPr>
        <w:t xml:space="preserve"> papers.</w:t>
      </w:r>
    </w:p>
    <w:p w14:paraId="7E10E63E" w14:textId="264884D2" w:rsidR="003D390A" w:rsidRDefault="00320D71" w:rsidP="005A3732">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 xml:space="preserve"> </w:t>
      </w:r>
    </w:p>
    <w:p w14:paraId="49E0B755" w14:textId="77777777" w:rsidR="00AE4292" w:rsidRPr="00AE4292" w:rsidRDefault="00AE4292" w:rsidP="00AE4292">
      <w:pPr>
        <w:pStyle w:val="ListParagraph"/>
        <w:numPr>
          <w:ilvl w:val="1"/>
          <w:numId w:val="1"/>
        </w:numPr>
        <w:tabs>
          <w:tab w:val="left" w:pos="426"/>
        </w:tabs>
        <w:spacing w:after="0" w:line="360" w:lineRule="auto"/>
        <w:ind w:hanging="630"/>
        <w:jc w:val="both"/>
        <w:rPr>
          <w:rFonts w:asciiTheme="majorBidi" w:eastAsia="Times New Roman" w:hAnsiTheme="majorBidi" w:cstheme="majorBidi"/>
          <w:b/>
          <w:bCs/>
          <w:sz w:val="24"/>
          <w:szCs w:val="24"/>
        </w:rPr>
      </w:pPr>
      <w:r w:rsidRPr="00AE4292">
        <w:rPr>
          <w:rFonts w:asciiTheme="majorBidi" w:eastAsia="Times New Roman" w:hAnsiTheme="majorBidi" w:cstheme="majorBidi"/>
          <w:b/>
          <w:bCs/>
          <w:sz w:val="24"/>
          <w:szCs w:val="24"/>
        </w:rPr>
        <w:t>Data Assessment through quality reports</w:t>
      </w:r>
    </w:p>
    <w:p w14:paraId="272957BF" w14:textId="3017D70A" w:rsidR="00EF36C6" w:rsidRPr="00AE4292" w:rsidRDefault="00B425D3" w:rsidP="00AE4292">
      <w:pPr>
        <w:tabs>
          <w:tab w:val="left" w:pos="426"/>
        </w:tabs>
        <w:spacing w:after="0" w:line="240" w:lineRule="auto"/>
        <w:jc w:val="both"/>
        <w:rPr>
          <w:rFonts w:asciiTheme="majorBidi" w:eastAsia="Times New Roman" w:hAnsiTheme="majorBidi" w:cstheme="majorBidi"/>
          <w:sz w:val="24"/>
          <w:szCs w:val="24"/>
        </w:rPr>
      </w:pPr>
      <w:proofErr w:type="gramStart"/>
      <w:r w:rsidRPr="00AE4292">
        <w:rPr>
          <w:rFonts w:asciiTheme="majorBidi" w:eastAsia="Times New Roman" w:hAnsiTheme="majorBidi" w:cstheme="majorBidi"/>
          <w:sz w:val="24"/>
          <w:szCs w:val="24"/>
        </w:rPr>
        <w:t xml:space="preserve">The quality of </w:t>
      </w:r>
      <w:r w:rsidR="009A4D9C" w:rsidRPr="00AE4292">
        <w:rPr>
          <w:rFonts w:asciiTheme="majorBidi" w:eastAsia="Times New Roman" w:hAnsiTheme="majorBidi" w:cstheme="majorBidi"/>
          <w:sz w:val="24"/>
          <w:szCs w:val="24"/>
        </w:rPr>
        <w:t xml:space="preserve">data and </w:t>
      </w:r>
      <w:r w:rsidRPr="00AE4292">
        <w:rPr>
          <w:rFonts w:asciiTheme="majorBidi" w:eastAsia="Times New Roman" w:hAnsiTheme="majorBidi" w:cstheme="majorBidi"/>
          <w:sz w:val="24"/>
          <w:szCs w:val="24"/>
        </w:rPr>
        <w:t xml:space="preserve">operations of all statistical surveys </w:t>
      </w:r>
      <w:r w:rsidR="009A4D9C" w:rsidRPr="00AE4292">
        <w:rPr>
          <w:rFonts w:asciiTheme="majorBidi" w:eastAsia="Times New Roman" w:hAnsiTheme="majorBidi" w:cstheme="majorBidi"/>
          <w:sz w:val="24"/>
          <w:szCs w:val="24"/>
        </w:rPr>
        <w:t>conducted by PCBS</w:t>
      </w:r>
      <w:r w:rsidRPr="00AE4292">
        <w:rPr>
          <w:rFonts w:asciiTheme="majorBidi" w:eastAsia="Times New Roman" w:hAnsiTheme="majorBidi" w:cstheme="majorBidi"/>
          <w:sz w:val="24"/>
          <w:szCs w:val="24"/>
        </w:rPr>
        <w:t xml:space="preserve"> is </w:t>
      </w:r>
      <w:r w:rsidR="009A4D9C" w:rsidRPr="00AE4292">
        <w:rPr>
          <w:rFonts w:asciiTheme="majorBidi" w:eastAsia="Times New Roman" w:hAnsiTheme="majorBidi" w:cstheme="majorBidi"/>
          <w:sz w:val="24"/>
          <w:szCs w:val="24"/>
        </w:rPr>
        <w:t xml:space="preserve">being </w:t>
      </w:r>
      <w:r w:rsidRPr="00AE4292">
        <w:rPr>
          <w:rFonts w:asciiTheme="majorBidi" w:eastAsia="Times New Roman" w:hAnsiTheme="majorBidi" w:cstheme="majorBidi"/>
          <w:sz w:val="24"/>
          <w:szCs w:val="24"/>
        </w:rPr>
        <w:t xml:space="preserve">monitored and documented through quality reports that include all operations and indicators that were checked and monitored during the implementation of the surveys, covering all stages of the standard model (GSBPM) which </w:t>
      </w:r>
      <w:r w:rsidR="006418AA" w:rsidRPr="00AE4292">
        <w:rPr>
          <w:rFonts w:asciiTheme="majorBidi" w:eastAsia="Times New Roman" w:hAnsiTheme="majorBidi" w:cstheme="majorBidi"/>
          <w:sz w:val="24"/>
          <w:szCs w:val="24"/>
        </w:rPr>
        <w:t>are:</w:t>
      </w:r>
      <w:r w:rsidRPr="00AE4292">
        <w:rPr>
          <w:rFonts w:asciiTheme="majorBidi" w:eastAsia="Times New Roman" w:hAnsiTheme="majorBidi" w:cstheme="majorBidi"/>
          <w:sz w:val="24"/>
          <w:szCs w:val="24"/>
        </w:rPr>
        <w:t xml:space="preserve"> the stage of setting goals and needs, design, construction, </w:t>
      </w:r>
      <w:r w:rsidR="006418AA" w:rsidRPr="00AE4292">
        <w:rPr>
          <w:rFonts w:asciiTheme="majorBidi" w:eastAsia="Times New Roman" w:hAnsiTheme="majorBidi" w:cstheme="majorBidi"/>
          <w:sz w:val="24"/>
          <w:szCs w:val="24"/>
        </w:rPr>
        <w:lastRenderedPageBreak/>
        <w:t xml:space="preserve">data </w:t>
      </w:r>
      <w:r w:rsidRPr="00AE4292">
        <w:rPr>
          <w:rFonts w:asciiTheme="majorBidi" w:eastAsia="Times New Roman" w:hAnsiTheme="majorBidi" w:cstheme="majorBidi"/>
          <w:sz w:val="24"/>
          <w:szCs w:val="24"/>
        </w:rPr>
        <w:t xml:space="preserve">collection, data processing, </w:t>
      </w:r>
      <w:r w:rsidR="006418AA" w:rsidRPr="00AE4292">
        <w:rPr>
          <w:rFonts w:asciiTheme="majorBidi" w:eastAsia="Times New Roman" w:hAnsiTheme="majorBidi" w:cstheme="majorBidi"/>
          <w:sz w:val="24"/>
          <w:szCs w:val="24"/>
        </w:rPr>
        <w:t xml:space="preserve">data </w:t>
      </w:r>
      <w:r w:rsidRPr="00AE4292">
        <w:rPr>
          <w:rFonts w:asciiTheme="majorBidi" w:eastAsia="Times New Roman" w:hAnsiTheme="majorBidi" w:cstheme="majorBidi"/>
          <w:sz w:val="24"/>
          <w:szCs w:val="24"/>
        </w:rPr>
        <w:t xml:space="preserve">analysis, dissemination, </w:t>
      </w:r>
      <w:r w:rsidR="00CE63D0" w:rsidRPr="00AE4292">
        <w:rPr>
          <w:rFonts w:asciiTheme="majorBidi" w:eastAsia="Times New Roman" w:hAnsiTheme="majorBidi" w:cstheme="majorBidi"/>
          <w:sz w:val="24"/>
          <w:szCs w:val="24"/>
        </w:rPr>
        <w:t>documentation</w:t>
      </w:r>
      <w:r w:rsidRPr="00AE4292">
        <w:rPr>
          <w:rFonts w:asciiTheme="majorBidi" w:eastAsia="Times New Roman" w:hAnsiTheme="majorBidi" w:cstheme="majorBidi"/>
          <w:sz w:val="24"/>
          <w:szCs w:val="24"/>
        </w:rPr>
        <w:t xml:space="preserve"> and evaluation.</w:t>
      </w:r>
      <w:proofErr w:type="gramEnd"/>
      <w:r w:rsidR="006D2992" w:rsidRPr="00AE4292">
        <w:rPr>
          <w:rFonts w:asciiTheme="majorBidi" w:eastAsia="Times New Roman" w:hAnsiTheme="majorBidi" w:cstheme="majorBidi"/>
          <w:sz w:val="24"/>
          <w:szCs w:val="24"/>
        </w:rPr>
        <w:t xml:space="preserve"> </w:t>
      </w:r>
      <w:r w:rsidR="00B43E14" w:rsidRPr="00AE4292">
        <w:rPr>
          <w:rFonts w:asciiTheme="majorBidi" w:eastAsia="Times New Roman" w:hAnsiTheme="majorBidi" w:cstheme="majorBidi"/>
          <w:sz w:val="24"/>
          <w:szCs w:val="24"/>
        </w:rPr>
        <w:t>In general, q</w:t>
      </w:r>
      <w:r w:rsidR="006D2992" w:rsidRPr="00AE4292">
        <w:rPr>
          <w:rFonts w:asciiTheme="majorBidi" w:eastAsia="Times New Roman" w:hAnsiTheme="majorBidi" w:cstheme="majorBidi"/>
          <w:sz w:val="24"/>
          <w:szCs w:val="24"/>
        </w:rPr>
        <w:t xml:space="preserve">uality reports </w:t>
      </w:r>
      <w:proofErr w:type="gramStart"/>
      <w:r w:rsidR="00B43E14" w:rsidRPr="00AE4292">
        <w:rPr>
          <w:rFonts w:asciiTheme="majorBidi" w:eastAsia="Times New Roman" w:hAnsiTheme="majorBidi" w:cstheme="majorBidi"/>
          <w:sz w:val="24"/>
          <w:szCs w:val="24"/>
        </w:rPr>
        <w:t>are being used</w:t>
      </w:r>
      <w:proofErr w:type="gramEnd"/>
      <w:r w:rsidR="00B43E14" w:rsidRPr="00AE4292">
        <w:rPr>
          <w:rFonts w:asciiTheme="majorBidi" w:eastAsia="Times New Roman" w:hAnsiTheme="majorBidi" w:cstheme="majorBidi"/>
          <w:sz w:val="24"/>
          <w:szCs w:val="24"/>
        </w:rPr>
        <w:t xml:space="preserve"> as a tool of evaluation and </w:t>
      </w:r>
      <w:r w:rsidR="006D2992" w:rsidRPr="00AE4292">
        <w:rPr>
          <w:rFonts w:asciiTheme="majorBidi" w:eastAsia="Times New Roman" w:hAnsiTheme="majorBidi" w:cstheme="majorBidi"/>
          <w:sz w:val="24"/>
          <w:szCs w:val="24"/>
        </w:rPr>
        <w:t>improving</w:t>
      </w:r>
      <w:r w:rsidRPr="00AE4292">
        <w:rPr>
          <w:rFonts w:asciiTheme="majorBidi" w:eastAsia="Times New Roman" w:hAnsiTheme="majorBidi" w:cstheme="majorBidi"/>
          <w:sz w:val="24"/>
          <w:szCs w:val="24"/>
        </w:rPr>
        <w:t xml:space="preserve"> the quality of statistical survey data and operations.</w:t>
      </w:r>
    </w:p>
    <w:p w14:paraId="1DA16617" w14:textId="53D63075" w:rsidR="000C4C52" w:rsidRDefault="000C4C52" w:rsidP="006D2992">
      <w:pPr>
        <w:tabs>
          <w:tab w:val="left" w:pos="540"/>
        </w:tabs>
        <w:spacing w:after="0" w:line="240" w:lineRule="auto"/>
        <w:jc w:val="both"/>
        <w:rPr>
          <w:rFonts w:asciiTheme="majorBidi" w:eastAsia="Times New Roman" w:hAnsiTheme="majorBidi" w:cstheme="majorBidi"/>
          <w:sz w:val="24"/>
          <w:szCs w:val="24"/>
        </w:rPr>
      </w:pPr>
    </w:p>
    <w:p w14:paraId="3D594698" w14:textId="14E25FCE" w:rsidR="00EF36C6" w:rsidRDefault="00495F30" w:rsidP="00E20618">
      <w:pPr>
        <w:tabs>
          <w:tab w:val="left" w:pos="540"/>
        </w:tabs>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Considering </w:t>
      </w:r>
      <w:r w:rsidR="00E65052" w:rsidRPr="00E65052">
        <w:rPr>
          <w:rFonts w:asciiTheme="majorBidi" w:eastAsia="Times New Roman" w:hAnsiTheme="majorBidi" w:cstheme="majorBidi"/>
          <w:sz w:val="24"/>
          <w:szCs w:val="24"/>
        </w:rPr>
        <w:t>the quality report</w:t>
      </w:r>
      <w:r>
        <w:rPr>
          <w:rFonts w:asciiTheme="majorBidi" w:eastAsia="Times New Roman" w:hAnsiTheme="majorBidi" w:cstheme="majorBidi"/>
          <w:sz w:val="24"/>
          <w:szCs w:val="24"/>
        </w:rPr>
        <w:t>s</w:t>
      </w:r>
      <w:r w:rsidR="00E65052" w:rsidRPr="00E65052">
        <w:rPr>
          <w:rFonts w:asciiTheme="majorBidi" w:eastAsia="Times New Roman" w:hAnsiTheme="majorBidi" w:cstheme="majorBidi"/>
          <w:sz w:val="24"/>
          <w:szCs w:val="24"/>
        </w:rPr>
        <w:t xml:space="preserve"> of </w:t>
      </w:r>
      <w:r>
        <w:rPr>
          <w:rFonts w:asciiTheme="majorBidi" w:eastAsia="Times New Roman" w:hAnsiTheme="majorBidi" w:cstheme="majorBidi"/>
          <w:sz w:val="24"/>
          <w:szCs w:val="24"/>
        </w:rPr>
        <w:t xml:space="preserve">Labor Force survey of 2019 and 2020, the total number of indicators </w:t>
      </w:r>
      <w:r w:rsidR="00C326F1">
        <w:rPr>
          <w:rFonts w:asciiTheme="majorBidi" w:eastAsia="Times New Roman" w:hAnsiTheme="majorBidi" w:cstheme="majorBidi"/>
          <w:sz w:val="24"/>
          <w:szCs w:val="24"/>
        </w:rPr>
        <w:t xml:space="preserve">to be evaluated </w:t>
      </w:r>
      <w:r>
        <w:rPr>
          <w:rFonts w:asciiTheme="majorBidi" w:eastAsia="Times New Roman" w:hAnsiTheme="majorBidi" w:cstheme="majorBidi"/>
          <w:sz w:val="24"/>
          <w:szCs w:val="24"/>
        </w:rPr>
        <w:t xml:space="preserve">based on the </w:t>
      </w:r>
      <w:r w:rsidR="00E20618">
        <w:rPr>
          <w:rFonts w:asciiTheme="majorBidi" w:eastAsia="Times New Roman" w:hAnsiTheme="majorBidi" w:cstheme="majorBidi"/>
          <w:sz w:val="24"/>
          <w:szCs w:val="24"/>
        </w:rPr>
        <w:t>above-mentioned</w:t>
      </w:r>
      <w:r>
        <w:rPr>
          <w:rFonts w:asciiTheme="majorBidi" w:eastAsia="Times New Roman" w:hAnsiTheme="majorBidi" w:cstheme="majorBidi"/>
          <w:sz w:val="24"/>
          <w:szCs w:val="24"/>
        </w:rPr>
        <w:t xml:space="preserve"> stages are 50 indicators</w:t>
      </w:r>
      <w:r w:rsidR="002725F5">
        <w:rPr>
          <w:rFonts w:asciiTheme="majorBidi" w:eastAsia="Times New Roman" w:hAnsiTheme="majorBidi" w:cstheme="majorBidi"/>
          <w:sz w:val="24"/>
          <w:szCs w:val="24"/>
        </w:rPr>
        <w:t>. The results are as follow:</w:t>
      </w:r>
      <w:r>
        <w:rPr>
          <w:rFonts w:asciiTheme="majorBidi" w:eastAsia="Times New Roman" w:hAnsiTheme="majorBidi" w:cstheme="majorBidi"/>
          <w:sz w:val="24"/>
          <w:szCs w:val="24"/>
        </w:rPr>
        <w:t xml:space="preserve"> </w:t>
      </w:r>
    </w:p>
    <w:p w14:paraId="2B5E3AF3" w14:textId="77777777" w:rsidR="00E20618" w:rsidRDefault="00E20618" w:rsidP="007006F4">
      <w:pPr>
        <w:tabs>
          <w:tab w:val="left" w:pos="540"/>
        </w:tabs>
        <w:spacing w:after="0" w:line="240" w:lineRule="auto"/>
        <w:jc w:val="both"/>
        <w:rPr>
          <w:rFonts w:asciiTheme="majorBidi" w:eastAsia="Times New Roman" w:hAnsiTheme="majorBidi" w:cstheme="majorBidi"/>
          <w:sz w:val="24"/>
          <w:szCs w:val="24"/>
        </w:rPr>
      </w:pPr>
    </w:p>
    <w:p w14:paraId="0EA5C2F2" w14:textId="7C38424D" w:rsidR="00E20618" w:rsidRPr="00E20618" w:rsidRDefault="00E20618" w:rsidP="00C326F1">
      <w:pPr>
        <w:tabs>
          <w:tab w:val="left" w:pos="720"/>
        </w:tabs>
        <w:spacing w:line="240" w:lineRule="auto"/>
        <w:ind w:left="360"/>
        <w:jc w:val="center"/>
        <w:rPr>
          <w:rFonts w:asciiTheme="majorBidi" w:eastAsia="Times New Roman" w:hAnsiTheme="majorBidi" w:cstheme="majorBidi"/>
          <w:b/>
          <w:bCs/>
        </w:rPr>
      </w:pPr>
      <w:r w:rsidRPr="00634163">
        <w:rPr>
          <w:rFonts w:asciiTheme="majorBidi" w:eastAsia="Times New Roman" w:hAnsiTheme="majorBidi" w:cstheme="majorBidi"/>
          <w:b/>
          <w:bCs/>
        </w:rPr>
        <w:t xml:space="preserve">Table </w:t>
      </w:r>
      <w:r>
        <w:rPr>
          <w:rFonts w:asciiTheme="majorBidi" w:eastAsia="Times New Roman" w:hAnsiTheme="majorBidi" w:cstheme="majorBidi"/>
          <w:b/>
          <w:bCs/>
        </w:rPr>
        <w:t>4</w:t>
      </w:r>
      <w:r w:rsidRPr="00E20618">
        <w:rPr>
          <w:rFonts w:asciiTheme="majorBidi" w:eastAsia="Times New Roman" w:hAnsiTheme="majorBidi" w:cstheme="majorBidi"/>
          <w:b/>
          <w:bCs/>
        </w:rPr>
        <w:t xml:space="preserve">: </w:t>
      </w:r>
      <w:r w:rsidR="00C326F1" w:rsidRPr="00C326F1">
        <w:rPr>
          <w:rFonts w:asciiTheme="majorBidi" w:eastAsia="Times New Roman" w:hAnsiTheme="majorBidi" w:cstheme="majorBidi"/>
        </w:rPr>
        <w:t>Evaluation of Labor Force survey based on GSBPM</w:t>
      </w:r>
    </w:p>
    <w:tbl>
      <w:tblPr>
        <w:tblStyle w:val="GridTable4-Accent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340"/>
        <w:gridCol w:w="2160"/>
        <w:gridCol w:w="1885"/>
      </w:tblGrid>
      <w:tr w:rsidR="00495F30" w14:paraId="0C5860E5" w14:textId="77777777" w:rsidTr="003137B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65"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24932736" w14:textId="27A3D6E6" w:rsidR="00495F30" w:rsidRPr="00634163" w:rsidRDefault="0066707B" w:rsidP="003137BE">
            <w:pPr>
              <w:tabs>
                <w:tab w:val="left" w:pos="540"/>
              </w:tabs>
              <w:rPr>
                <w:rFonts w:asciiTheme="majorBidi" w:eastAsia="Times New Roman" w:hAnsiTheme="majorBidi" w:cstheme="majorBidi"/>
                <w:b w:val="0"/>
                <w:bCs w:val="0"/>
                <w:color w:val="auto"/>
                <w:sz w:val="18"/>
                <w:szCs w:val="18"/>
              </w:rPr>
            </w:pPr>
            <w:r w:rsidRPr="00634163">
              <w:rPr>
                <w:rFonts w:asciiTheme="majorBidi" w:eastAsia="Times New Roman" w:hAnsiTheme="majorBidi" w:cstheme="majorBidi"/>
                <w:b w:val="0"/>
                <w:bCs w:val="0"/>
                <w:color w:val="auto"/>
                <w:sz w:val="18"/>
                <w:szCs w:val="18"/>
              </w:rPr>
              <w:t>Indicator Status</w:t>
            </w:r>
          </w:p>
        </w:tc>
        <w:tc>
          <w:tcPr>
            <w:tcW w:w="2340"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3C540A53" w14:textId="4F871BA2" w:rsidR="00495F30" w:rsidRPr="00634163" w:rsidRDefault="0066707B" w:rsidP="003137BE">
            <w:pPr>
              <w:tabs>
                <w:tab w:val="left" w:pos="54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18"/>
                <w:szCs w:val="18"/>
              </w:rPr>
            </w:pPr>
            <w:r w:rsidRPr="00634163">
              <w:rPr>
                <w:rFonts w:asciiTheme="majorBidi" w:eastAsia="Times New Roman" w:hAnsiTheme="majorBidi" w:cstheme="majorBidi"/>
                <w:b w:val="0"/>
                <w:bCs w:val="0"/>
                <w:color w:val="auto"/>
                <w:sz w:val="18"/>
                <w:szCs w:val="18"/>
              </w:rPr>
              <w:t>Completely Satisfied</w:t>
            </w:r>
          </w:p>
        </w:tc>
        <w:tc>
          <w:tcPr>
            <w:tcW w:w="2160"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7F1CE578" w14:textId="30A86FD7" w:rsidR="00495F30" w:rsidRPr="00634163" w:rsidRDefault="0066707B" w:rsidP="003137BE">
            <w:pPr>
              <w:tabs>
                <w:tab w:val="left" w:pos="54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18"/>
                <w:szCs w:val="18"/>
              </w:rPr>
            </w:pPr>
            <w:r w:rsidRPr="00634163">
              <w:rPr>
                <w:rFonts w:asciiTheme="majorBidi" w:eastAsia="Times New Roman" w:hAnsiTheme="majorBidi" w:cstheme="majorBidi"/>
                <w:b w:val="0"/>
                <w:bCs w:val="0"/>
                <w:color w:val="auto"/>
                <w:sz w:val="18"/>
                <w:szCs w:val="18"/>
              </w:rPr>
              <w:t>Partially Satisfied</w:t>
            </w:r>
          </w:p>
        </w:tc>
        <w:tc>
          <w:tcPr>
            <w:tcW w:w="1885"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14:paraId="129C2C33" w14:textId="5A610E14" w:rsidR="00495F30" w:rsidRPr="00634163" w:rsidRDefault="0066707B" w:rsidP="003137BE">
            <w:pPr>
              <w:tabs>
                <w:tab w:val="left" w:pos="540"/>
              </w:tab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18"/>
                <w:szCs w:val="18"/>
              </w:rPr>
            </w:pPr>
            <w:r w:rsidRPr="00634163">
              <w:rPr>
                <w:rFonts w:asciiTheme="majorBidi" w:eastAsia="Times New Roman" w:hAnsiTheme="majorBidi" w:cstheme="majorBidi"/>
                <w:b w:val="0"/>
                <w:bCs w:val="0"/>
                <w:color w:val="auto"/>
                <w:sz w:val="18"/>
                <w:szCs w:val="18"/>
              </w:rPr>
              <w:t>Not Satisfied</w:t>
            </w:r>
          </w:p>
        </w:tc>
      </w:tr>
      <w:tr w:rsidR="007006F4" w14:paraId="32B27F4E" w14:textId="77777777" w:rsidTr="003137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70AD47" w:themeFill="accent6"/>
            <w:vAlign w:val="center"/>
          </w:tcPr>
          <w:p w14:paraId="149852F0" w14:textId="64D66D47" w:rsidR="007006F4" w:rsidRPr="00634163" w:rsidRDefault="007006F4" w:rsidP="003137BE">
            <w:pPr>
              <w:tabs>
                <w:tab w:val="left" w:pos="540"/>
              </w:tabs>
              <w:rPr>
                <w:rFonts w:asciiTheme="majorBidi" w:eastAsia="Times New Roman" w:hAnsiTheme="majorBidi" w:cstheme="majorBidi"/>
                <w:b w:val="0"/>
                <w:bCs w:val="0"/>
                <w:color w:val="FFFFFF" w:themeColor="background1"/>
                <w:sz w:val="18"/>
                <w:szCs w:val="18"/>
              </w:rPr>
            </w:pPr>
            <w:r w:rsidRPr="00634163">
              <w:rPr>
                <w:rFonts w:asciiTheme="majorBidi" w:eastAsia="Times New Roman" w:hAnsiTheme="majorBidi" w:cstheme="majorBidi"/>
                <w:b w:val="0"/>
                <w:bCs w:val="0"/>
                <w:color w:val="FFFFFF" w:themeColor="background1"/>
                <w:sz w:val="18"/>
                <w:szCs w:val="18"/>
              </w:rPr>
              <w:t>Labor Force 2019 (</w:t>
            </w:r>
            <w:r w:rsidR="003569E0" w:rsidRPr="00634163">
              <w:rPr>
                <w:rFonts w:asciiTheme="majorBidi" w:eastAsia="Times New Roman" w:hAnsiTheme="majorBidi" w:cstheme="majorBidi"/>
                <w:b w:val="0"/>
                <w:bCs w:val="0"/>
                <w:color w:val="FFFFFF" w:themeColor="background1"/>
                <w:sz w:val="18"/>
                <w:szCs w:val="18"/>
              </w:rPr>
              <w:t xml:space="preserve">44 </w:t>
            </w:r>
            <w:r w:rsidRPr="00634163">
              <w:rPr>
                <w:rFonts w:asciiTheme="majorBidi" w:eastAsia="Times New Roman" w:hAnsiTheme="majorBidi" w:cstheme="majorBidi"/>
                <w:b w:val="0"/>
                <w:bCs w:val="0"/>
                <w:color w:val="FFFFFF" w:themeColor="background1"/>
                <w:sz w:val="18"/>
                <w:szCs w:val="18"/>
              </w:rPr>
              <w:t>indicators of which are applicable)</w:t>
            </w:r>
          </w:p>
        </w:tc>
      </w:tr>
      <w:tr w:rsidR="00AC45F6" w14:paraId="2F4E4999" w14:textId="77777777" w:rsidTr="003137BE">
        <w:trPr>
          <w:trHeight w:val="34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748610BD" w14:textId="394F361D" w:rsidR="00AC45F6" w:rsidRPr="00634163" w:rsidRDefault="00AC45F6" w:rsidP="00634163">
            <w:pPr>
              <w:tabs>
                <w:tab w:val="left" w:pos="540"/>
              </w:tabs>
              <w:rPr>
                <w:rFonts w:asciiTheme="majorBidi" w:eastAsia="Times New Roman" w:hAnsiTheme="majorBidi" w:cstheme="majorBidi"/>
                <w:b w:val="0"/>
                <w:bCs w:val="0"/>
                <w:sz w:val="18"/>
                <w:szCs w:val="18"/>
              </w:rPr>
            </w:pPr>
            <w:r w:rsidRPr="00634163">
              <w:rPr>
                <w:rFonts w:asciiTheme="majorBidi" w:eastAsia="Times New Roman" w:hAnsiTheme="majorBidi" w:cstheme="majorBidi"/>
                <w:b w:val="0"/>
                <w:bCs w:val="0"/>
                <w:sz w:val="18"/>
                <w:szCs w:val="18"/>
              </w:rPr>
              <w:t>N</w:t>
            </w:r>
            <w:r w:rsidR="007006F4" w:rsidRPr="00634163">
              <w:rPr>
                <w:rFonts w:asciiTheme="majorBidi" w:eastAsia="Times New Roman" w:hAnsiTheme="majorBidi" w:cstheme="majorBidi"/>
                <w:b w:val="0"/>
                <w:bCs w:val="0"/>
                <w:sz w:val="18"/>
                <w:szCs w:val="18"/>
              </w:rPr>
              <w:t>o.</w:t>
            </w:r>
            <w:r w:rsidRPr="00634163">
              <w:rPr>
                <w:rFonts w:asciiTheme="majorBidi" w:eastAsia="Times New Roman" w:hAnsiTheme="majorBidi" w:cstheme="majorBidi"/>
                <w:b w:val="0"/>
                <w:bCs w:val="0"/>
                <w:sz w:val="18"/>
                <w:szCs w:val="18"/>
              </w:rPr>
              <w:t xml:space="preserve"> of indicators </w:t>
            </w:r>
          </w:p>
        </w:tc>
        <w:tc>
          <w:tcPr>
            <w:tcW w:w="2340" w:type="dxa"/>
          </w:tcPr>
          <w:p w14:paraId="563D27F5" w14:textId="0D88D1CB" w:rsidR="00AC45F6" w:rsidRPr="00634163" w:rsidRDefault="00AC45F6" w:rsidP="0066707B">
            <w:pPr>
              <w:tabs>
                <w:tab w:val="left" w:pos="540"/>
              </w:tabs>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olor w:val="000000" w:themeColor="text1"/>
                <w:sz w:val="18"/>
                <w:szCs w:val="18"/>
              </w:rPr>
            </w:pPr>
            <w:r w:rsidRPr="00634163">
              <w:rPr>
                <w:rFonts w:ascii="Simplified Arabic" w:hAnsi="Simplified Arabic"/>
                <w:color w:val="000000" w:themeColor="text1"/>
                <w:sz w:val="18"/>
                <w:szCs w:val="18"/>
              </w:rPr>
              <w:t>41</w:t>
            </w:r>
          </w:p>
        </w:tc>
        <w:tc>
          <w:tcPr>
            <w:tcW w:w="2160" w:type="dxa"/>
          </w:tcPr>
          <w:p w14:paraId="0332C13E" w14:textId="54E51CD1" w:rsidR="00AC45F6" w:rsidRPr="00634163" w:rsidRDefault="00AC45F6" w:rsidP="0066707B">
            <w:pPr>
              <w:tabs>
                <w:tab w:val="left" w:pos="540"/>
              </w:tabs>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olor w:val="000000" w:themeColor="text1"/>
                <w:sz w:val="18"/>
                <w:szCs w:val="18"/>
              </w:rPr>
            </w:pPr>
            <w:r w:rsidRPr="00634163">
              <w:rPr>
                <w:rFonts w:ascii="Simplified Arabic" w:hAnsi="Simplified Arabic"/>
                <w:color w:val="000000" w:themeColor="text1"/>
                <w:sz w:val="18"/>
                <w:szCs w:val="18"/>
              </w:rPr>
              <w:t>2</w:t>
            </w:r>
          </w:p>
        </w:tc>
        <w:tc>
          <w:tcPr>
            <w:tcW w:w="1885" w:type="dxa"/>
          </w:tcPr>
          <w:p w14:paraId="4D2C15D4" w14:textId="748F6BBB" w:rsidR="00AC45F6" w:rsidRPr="00634163" w:rsidRDefault="00AC45F6" w:rsidP="0066707B">
            <w:pPr>
              <w:tabs>
                <w:tab w:val="left" w:pos="540"/>
              </w:tabs>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olor w:val="000000" w:themeColor="text1"/>
                <w:sz w:val="18"/>
                <w:szCs w:val="18"/>
              </w:rPr>
            </w:pPr>
            <w:r w:rsidRPr="00634163">
              <w:rPr>
                <w:rFonts w:ascii="Simplified Arabic" w:hAnsi="Simplified Arabic"/>
                <w:color w:val="000000" w:themeColor="text1"/>
                <w:sz w:val="18"/>
                <w:szCs w:val="18"/>
              </w:rPr>
              <w:t>1</w:t>
            </w:r>
          </w:p>
        </w:tc>
      </w:tr>
      <w:tr w:rsidR="00AC45F6" w14:paraId="1338448D" w14:textId="77777777" w:rsidTr="003137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85C26DE" w14:textId="3D24D95F" w:rsidR="00AC45F6" w:rsidRPr="00634163" w:rsidRDefault="00AC45F6" w:rsidP="00634163">
            <w:pPr>
              <w:tabs>
                <w:tab w:val="left" w:pos="540"/>
              </w:tabs>
              <w:rPr>
                <w:rFonts w:asciiTheme="majorBidi" w:eastAsia="Times New Roman" w:hAnsiTheme="majorBidi" w:cstheme="majorBidi"/>
                <w:b w:val="0"/>
                <w:bCs w:val="0"/>
                <w:sz w:val="18"/>
                <w:szCs w:val="18"/>
              </w:rPr>
            </w:pPr>
            <w:r w:rsidRPr="00634163">
              <w:rPr>
                <w:rFonts w:asciiTheme="majorBidi" w:eastAsia="Times New Roman" w:hAnsiTheme="majorBidi" w:cstheme="majorBidi"/>
                <w:b w:val="0"/>
                <w:bCs w:val="0"/>
                <w:sz w:val="18"/>
                <w:szCs w:val="18"/>
              </w:rPr>
              <w:t>Percentage %</w:t>
            </w:r>
          </w:p>
        </w:tc>
        <w:tc>
          <w:tcPr>
            <w:tcW w:w="2340" w:type="dxa"/>
          </w:tcPr>
          <w:p w14:paraId="624C0510" w14:textId="49B3F5D7" w:rsidR="00AC45F6" w:rsidRPr="00634163" w:rsidRDefault="00AC45F6" w:rsidP="0066707B">
            <w:pPr>
              <w:tabs>
                <w:tab w:val="left" w:pos="540"/>
              </w:tabs>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olor w:val="000000" w:themeColor="text1"/>
                <w:sz w:val="18"/>
                <w:szCs w:val="18"/>
              </w:rPr>
            </w:pPr>
            <w:r w:rsidRPr="00634163">
              <w:rPr>
                <w:rFonts w:ascii="Simplified Arabic" w:hAnsi="Simplified Arabic"/>
                <w:color w:val="000000" w:themeColor="text1"/>
                <w:sz w:val="18"/>
                <w:szCs w:val="18"/>
              </w:rPr>
              <w:t>93</w:t>
            </w:r>
          </w:p>
        </w:tc>
        <w:tc>
          <w:tcPr>
            <w:tcW w:w="2160" w:type="dxa"/>
          </w:tcPr>
          <w:p w14:paraId="196B1EAA" w14:textId="17EB1B44" w:rsidR="00AC45F6" w:rsidRPr="00634163" w:rsidRDefault="00AC45F6" w:rsidP="0066707B">
            <w:pPr>
              <w:tabs>
                <w:tab w:val="left" w:pos="540"/>
              </w:tabs>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olor w:val="000000" w:themeColor="text1"/>
                <w:sz w:val="18"/>
                <w:szCs w:val="18"/>
              </w:rPr>
            </w:pPr>
            <w:r w:rsidRPr="00634163">
              <w:rPr>
                <w:rFonts w:ascii="Simplified Arabic" w:hAnsi="Simplified Arabic"/>
                <w:color w:val="000000" w:themeColor="text1"/>
                <w:sz w:val="18"/>
                <w:szCs w:val="18"/>
              </w:rPr>
              <w:t>5</w:t>
            </w:r>
          </w:p>
        </w:tc>
        <w:tc>
          <w:tcPr>
            <w:tcW w:w="1885" w:type="dxa"/>
          </w:tcPr>
          <w:p w14:paraId="3D843028" w14:textId="3181B13B" w:rsidR="00AC45F6" w:rsidRPr="00634163" w:rsidRDefault="00AC45F6" w:rsidP="0066707B">
            <w:pPr>
              <w:tabs>
                <w:tab w:val="left" w:pos="540"/>
              </w:tabs>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olor w:val="000000" w:themeColor="text1"/>
                <w:sz w:val="18"/>
                <w:szCs w:val="18"/>
              </w:rPr>
            </w:pPr>
            <w:r w:rsidRPr="00634163">
              <w:rPr>
                <w:rFonts w:ascii="Simplified Arabic" w:hAnsi="Simplified Arabic"/>
                <w:color w:val="000000" w:themeColor="text1"/>
                <w:sz w:val="18"/>
                <w:szCs w:val="18"/>
              </w:rPr>
              <w:t>2</w:t>
            </w:r>
          </w:p>
        </w:tc>
      </w:tr>
      <w:tr w:rsidR="00495F30" w14:paraId="3FF1C69D" w14:textId="77777777" w:rsidTr="003137BE">
        <w:trPr>
          <w:trHeight w:val="34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70AD47" w:themeFill="accent6"/>
            <w:vAlign w:val="center"/>
          </w:tcPr>
          <w:p w14:paraId="77E5A4D7" w14:textId="1FE9432A" w:rsidR="00495F30" w:rsidRPr="00634163" w:rsidRDefault="00495F30" w:rsidP="003137BE">
            <w:pPr>
              <w:tabs>
                <w:tab w:val="left" w:pos="540"/>
              </w:tabs>
              <w:rPr>
                <w:rFonts w:asciiTheme="majorBidi" w:eastAsia="Times New Roman" w:hAnsiTheme="majorBidi" w:cstheme="majorBidi"/>
                <w:b w:val="0"/>
                <w:bCs w:val="0"/>
                <w:sz w:val="18"/>
                <w:szCs w:val="18"/>
              </w:rPr>
            </w:pPr>
            <w:r w:rsidRPr="00634163">
              <w:rPr>
                <w:rFonts w:asciiTheme="majorBidi" w:eastAsia="Times New Roman" w:hAnsiTheme="majorBidi" w:cstheme="majorBidi"/>
                <w:b w:val="0"/>
                <w:bCs w:val="0"/>
                <w:color w:val="FFFFFF" w:themeColor="background1"/>
                <w:sz w:val="18"/>
                <w:szCs w:val="18"/>
              </w:rPr>
              <w:t>Labor Force 2020</w:t>
            </w:r>
            <w:r w:rsidR="007006F4" w:rsidRPr="00634163">
              <w:rPr>
                <w:rFonts w:asciiTheme="majorBidi" w:eastAsia="Times New Roman" w:hAnsiTheme="majorBidi" w:cstheme="majorBidi"/>
                <w:b w:val="0"/>
                <w:bCs w:val="0"/>
                <w:color w:val="FFFFFF" w:themeColor="background1"/>
                <w:sz w:val="18"/>
                <w:szCs w:val="18"/>
              </w:rPr>
              <w:t xml:space="preserve"> (29 indicators of which are applicable)</w:t>
            </w:r>
          </w:p>
        </w:tc>
      </w:tr>
      <w:tr w:rsidR="002725F5" w14:paraId="173718A0" w14:textId="77777777" w:rsidTr="00E701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65" w:type="dxa"/>
            <w:shd w:val="clear" w:color="auto" w:fill="FFFFFF" w:themeFill="background1"/>
            <w:vAlign w:val="center"/>
          </w:tcPr>
          <w:p w14:paraId="395D4E47" w14:textId="285348CD" w:rsidR="002725F5" w:rsidRPr="00634163" w:rsidRDefault="002725F5" w:rsidP="00634163">
            <w:pPr>
              <w:tabs>
                <w:tab w:val="left" w:pos="540"/>
              </w:tabs>
              <w:rPr>
                <w:rFonts w:asciiTheme="majorBidi" w:eastAsia="Times New Roman" w:hAnsiTheme="majorBidi" w:cstheme="majorBidi"/>
                <w:sz w:val="18"/>
                <w:szCs w:val="18"/>
              </w:rPr>
            </w:pPr>
            <w:r w:rsidRPr="00634163">
              <w:rPr>
                <w:rFonts w:asciiTheme="majorBidi" w:eastAsia="Times New Roman" w:hAnsiTheme="majorBidi" w:cstheme="majorBidi"/>
                <w:b w:val="0"/>
                <w:bCs w:val="0"/>
                <w:sz w:val="18"/>
                <w:szCs w:val="18"/>
              </w:rPr>
              <w:t xml:space="preserve">No. of indicators </w:t>
            </w:r>
          </w:p>
        </w:tc>
        <w:tc>
          <w:tcPr>
            <w:tcW w:w="2340" w:type="dxa"/>
            <w:shd w:val="clear" w:color="auto" w:fill="FFFFFF" w:themeFill="background1"/>
          </w:tcPr>
          <w:p w14:paraId="4B90BA15" w14:textId="4F7DF498" w:rsidR="002725F5" w:rsidRPr="00634163" w:rsidRDefault="002725F5" w:rsidP="0066707B">
            <w:pPr>
              <w:tabs>
                <w:tab w:val="left" w:pos="54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634163">
              <w:rPr>
                <w:rFonts w:ascii="Simplified Arabic" w:hAnsi="Simplified Arabic"/>
                <w:color w:val="000000" w:themeColor="text1"/>
                <w:sz w:val="18"/>
                <w:szCs w:val="18"/>
                <w:lang w:val="en-GB"/>
              </w:rPr>
              <w:t>26</w:t>
            </w:r>
          </w:p>
        </w:tc>
        <w:tc>
          <w:tcPr>
            <w:tcW w:w="2160" w:type="dxa"/>
            <w:shd w:val="clear" w:color="auto" w:fill="FFFFFF" w:themeFill="background1"/>
          </w:tcPr>
          <w:p w14:paraId="0A3F8BA1" w14:textId="4B7324B6" w:rsidR="002725F5" w:rsidRPr="00634163" w:rsidRDefault="002725F5" w:rsidP="0066707B">
            <w:pPr>
              <w:tabs>
                <w:tab w:val="left" w:pos="54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634163">
              <w:rPr>
                <w:rFonts w:ascii="Simplified Arabic" w:hAnsi="Simplified Arabic"/>
                <w:color w:val="000000" w:themeColor="text1"/>
                <w:sz w:val="18"/>
                <w:szCs w:val="18"/>
                <w:lang w:val="en-GB"/>
              </w:rPr>
              <w:t>1</w:t>
            </w:r>
          </w:p>
        </w:tc>
        <w:tc>
          <w:tcPr>
            <w:tcW w:w="1885" w:type="dxa"/>
            <w:shd w:val="clear" w:color="auto" w:fill="FFFFFF" w:themeFill="background1"/>
          </w:tcPr>
          <w:p w14:paraId="42DC445A" w14:textId="4E67D51D" w:rsidR="002725F5" w:rsidRPr="00634163" w:rsidRDefault="002725F5" w:rsidP="0066707B">
            <w:pPr>
              <w:tabs>
                <w:tab w:val="left" w:pos="540"/>
              </w:tab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rPr>
            </w:pPr>
            <w:r w:rsidRPr="00634163">
              <w:rPr>
                <w:rFonts w:ascii="Simplified Arabic" w:hAnsi="Simplified Arabic"/>
                <w:color w:val="000000" w:themeColor="text1"/>
                <w:sz w:val="18"/>
                <w:szCs w:val="18"/>
                <w:lang w:val="en-GB"/>
              </w:rPr>
              <w:t>2</w:t>
            </w:r>
          </w:p>
        </w:tc>
      </w:tr>
      <w:tr w:rsidR="002725F5" w14:paraId="6444743F" w14:textId="77777777" w:rsidTr="00E7016B">
        <w:trPr>
          <w:trHeight w:val="340"/>
        </w:trPr>
        <w:tc>
          <w:tcPr>
            <w:cnfStyle w:val="001000000000" w:firstRow="0" w:lastRow="0" w:firstColumn="1" w:lastColumn="0" w:oddVBand="0" w:evenVBand="0" w:oddHBand="0" w:evenHBand="0" w:firstRowFirstColumn="0" w:firstRowLastColumn="0" w:lastRowFirstColumn="0" w:lastRowLastColumn="0"/>
            <w:tcW w:w="2965" w:type="dxa"/>
            <w:shd w:val="clear" w:color="auto" w:fill="E2EFD9" w:themeFill="accent6" w:themeFillTint="33"/>
            <w:vAlign w:val="center"/>
          </w:tcPr>
          <w:p w14:paraId="37B86321" w14:textId="4A881365" w:rsidR="002725F5" w:rsidRPr="00634163" w:rsidRDefault="002725F5" w:rsidP="00634163">
            <w:pPr>
              <w:tabs>
                <w:tab w:val="left" w:pos="540"/>
              </w:tabs>
              <w:rPr>
                <w:rFonts w:asciiTheme="majorBidi" w:eastAsia="Times New Roman" w:hAnsiTheme="majorBidi" w:cstheme="majorBidi"/>
                <w:sz w:val="18"/>
                <w:szCs w:val="18"/>
              </w:rPr>
            </w:pPr>
            <w:r w:rsidRPr="00634163">
              <w:rPr>
                <w:rFonts w:asciiTheme="majorBidi" w:eastAsia="Times New Roman" w:hAnsiTheme="majorBidi" w:cstheme="majorBidi"/>
                <w:b w:val="0"/>
                <w:bCs w:val="0"/>
                <w:sz w:val="18"/>
                <w:szCs w:val="18"/>
              </w:rPr>
              <w:t>Percentage %</w:t>
            </w:r>
          </w:p>
        </w:tc>
        <w:tc>
          <w:tcPr>
            <w:tcW w:w="2340" w:type="dxa"/>
            <w:shd w:val="clear" w:color="auto" w:fill="E2EFD9" w:themeFill="accent6" w:themeFillTint="33"/>
          </w:tcPr>
          <w:p w14:paraId="37BFBAE3" w14:textId="045C0F5C" w:rsidR="002725F5" w:rsidRPr="00634163" w:rsidRDefault="002725F5" w:rsidP="0066707B">
            <w:pPr>
              <w:tabs>
                <w:tab w:val="left" w:pos="540"/>
              </w:tab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634163">
              <w:rPr>
                <w:rFonts w:ascii="Simplified Arabic" w:hAnsi="Simplified Arabic"/>
                <w:color w:val="000000" w:themeColor="text1"/>
                <w:sz w:val="18"/>
                <w:szCs w:val="18"/>
                <w:lang w:val="en-GB"/>
              </w:rPr>
              <w:t>90</w:t>
            </w:r>
          </w:p>
        </w:tc>
        <w:tc>
          <w:tcPr>
            <w:tcW w:w="2160" w:type="dxa"/>
            <w:shd w:val="clear" w:color="auto" w:fill="E2EFD9" w:themeFill="accent6" w:themeFillTint="33"/>
          </w:tcPr>
          <w:p w14:paraId="51715E65" w14:textId="1DA9562F" w:rsidR="002725F5" w:rsidRPr="00634163" w:rsidRDefault="002725F5" w:rsidP="0066707B">
            <w:pPr>
              <w:tabs>
                <w:tab w:val="left" w:pos="540"/>
              </w:tab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634163">
              <w:rPr>
                <w:rFonts w:ascii="Simplified Arabic" w:hAnsi="Simplified Arabic"/>
                <w:color w:val="000000" w:themeColor="text1"/>
                <w:sz w:val="18"/>
                <w:szCs w:val="18"/>
                <w:lang w:val="en-GB"/>
              </w:rPr>
              <w:t>3</w:t>
            </w:r>
          </w:p>
        </w:tc>
        <w:tc>
          <w:tcPr>
            <w:tcW w:w="1885" w:type="dxa"/>
            <w:shd w:val="clear" w:color="auto" w:fill="E2EFD9" w:themeFill="accent6" w:themeFillTint="33"/>
          </w:tcPr>
          <w:p w14:paraId="053F30EC" w14:textId="078BEA54" w:rsidR="002725F5" w:rsidRPr="00634163" w:rsidRDefault="002725F5" w:rsidP="0066707B">
            <w:pPr>
              <w:tabs>
                <w:tab w:val="left" w:pos="540"/>
              </w:tab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rPr>
            </w:pPr>
            <w:r w:rsidRPr="00634163">
              <w:rPr>
                <w:rFonts w:ascii="Simplified Arabic" w:hAnsi="Simplified Arabic"/>
                <w:color w:val="000000" w:themeColor="text1"/>
                <w:sz w:val="18"/>
                <w:szCs w:val="18"/>
                <w:lang w:val="en-GB"/>
              </w:rPr>
              <w:t>7</w:t>
            </w:r>
          </w:p>
        </w:tc>
      </w:tr>
    </w:tbl>
    <w:p w14:paraId="0FF43562" w14:textId="26FC2FC4" w:rsidR="00EF36C6" w:rsidRDefault="00C326F1" w:rsidP="00EF36C6">
      <w:pPr>
        <w:tabs>
          <w:tab w:val="left" w:pos="540"/>
        </w:tabs>
        <w:spacing w:after="0" w:line="240" w:lineRule="auto"/>
        <w:jc w:val="both"/>
        <w:rPr>
          <w:rFonts w:asciiTheme="majorBidi" w:eastAsia="Times New Roman" w:hAnsiTheme="majorBidi" w:cstheme="majorBidi"/>
          <w:sz w:val="16"/>
          <w:szCs w:val="16"/>
        </w:rPr>
      </w:pPr>
      <w:r w:rsidRPr="00C326F1">
        <w:rPr>
          <w:rFonts w:asciiTheme="majorBidi" w:eastAsia="Times New Roman" w:hAnsiTheme="majorBidi" w:cstheme="majorBidi"/>
          <w:sz w:val="16"/>
          <w:szCs w:val="16"/>
        </w:rPr>
        <w:t>Source: Quality Report of Labor Force Survey Operations and Data Third Quarter 2019, 2020</w:t>
      </w:r>
    </w:p>
    <w:p w14:paraId="33C135DD" w14:textId="77777777" w:rsidR="00C326F1" w:rsidRDefault="00C326F1" w:rsidP="00EF36C6">
      <w:pPr>
        <w:tabs>
          <w:tab w:val="left" w:pos="540"/>
        </w:tabs>
        <w:spacing w:after="0" w:line="240" w:lineRule="auto"/>
        <w:jc w:val="both"/>
        <w:rPr>
          <w:rFonts w:asciiTheme="majorBidi" w:eastAsia="Times New Roman" w:hAnsiTheme="majorBidi" w:cstheme="majorBidi"/>
          <w:sz w:val="24"/>
          <w:szCs w:val="24"/>
        </w:rPr>
      </w:pPr>
    </w:p>
    <w:p w14:paraId="3FDD085A" w14:textId="1F87F0E0" w:rsidR="00A7479E" w:rsidRDefault="007006F4" w:rsidP="00C326F1">
      <w:pPr>
        <w:tabs>
          <w:tab w:val="left" w:pos="540"/>
        </w:tabs>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result</w:t>
      </w:r>
      <w:r w:rsidR="003569E0">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show that both cycles </w:t>
      </w:r>
      <w:r w:rsidR="003569E0">
        <w:rPr>
          <w:rFonts w:asciiTheme="majorBidi" w:eastAsia="Times New Roman" w:hAnsiTheme="majorBidi" w:cstheme="majorBidi"/>
          <w:sz w:val="24"/>
          <w:szCs w:val="24"/>
        </w:rPr>
        <w:t xml:space="preserve">almost satisfied the overall indicators related to GSBPM stages. On the other hand, </w:t>
      </w:r>
      <w:r w:rsidR="00C326F1">
        <w:rPr>
          <w:rFonts w:asciiTheme="majorBidi" w:eastAsia="Times New Roman" w:hAnsiTheme="majorBidi" w:cstheme="majorBidi"/>
          <w:sz w:val="24"/>
          <w:szCs w:val="24"/>
        </w:rPr>
        <w:t>the difference</w:t>
      </w:r>
      <w:r w:rsidR="003569E0">
        <w:rPr>
          <w:rFonts w:asciiTheme="majorBidi" w:eastAsia="Times New Roman" w:hAnsiTheme="majorBidi" w:cstheme="majorBidi"/>
          <w:sz w:val="24"/>
          <w:szCs w:val="24"/>
        </w:rPr>
        <w:t xml:space="preserve"> </w:t>
      </w:r>
      <w:r w:rsidR="00C24BA9">
        <w:rPr>
          <w:rFonts w:asciiTheme="majorBidi" w:eastAsia="Times New Roman" w:hAnsiTheme="majorBidi" w:cstheme="majorBidi"/>
          <w:sz w:val="24"/>
          <w:szCs w:val="24"/>
        </w:rPr>
        <w:t>in</w:t>
      </w:r>
      <w:r w:rsidR="003569E0">
        <w:rPr>
          <w:rFonts w:asciiTheme="majorBidi" w:eastAsia="Times New Roman" w:hAnsiTheme="majorBidi" w:cstheme="majorBidi"/>
          <w:sz w:val="24"/>
          <w:szCs w:val="24"/>
        </w:rPr>
        <w:t xml:space="preserve"> percentages </w:t>
      </w:r>
      <w:r w:rsidR="00C24BA9">
        <w:rPr>
          <w:rFonts w:asciiTheme="majorBidi" w:eastAsia="Times New Roman" w:hAnsiTheme="majorBidi" w:cstheme="majorBidi"/>
          <w:sz w:val="24"/>
          <w:szCs w:val="24"/>
        </w:rPr>
        <w:t>for</w:t>
      </w:r>
      <w:r w:rsidR="003569E0">
        <w:rPr>
          <w:rFonts w:asciiTheme="majorBidi" w:eastAsia="Times New Roman" w:hAnsiTheme="majorBidi" w:cstheme="majorBidi"/>
          <w:sz w:val="24"/>
          <w:szCs w:val="24"/>
        </w:rPr>
        <w:t xml:space="preserve"> non-satisfied indicators </w:t>
      </w:r>
      <w:r w:rsidR="00C326F1">
        <w:rPr>
          <w:rFonts w:asciiTheme="majorBidi" w:eastAsia="Times New Roman" w:hAnsiTheme="majorBidi" w:cstheme="majorBidi"/>
          <w:sz w:val="24"/>
          <w:szCs w:val="24"/>
        </w:rPr>
        <w:t>between both cycles as</w:t>
      </w:r>
      <w:r w:rsidR="003569E0">
        <w:rPr>
          <w:rFonts w:asciiTheme="majorBidi" w:eastAsia="Times New Roman" w:hAnsiTheme="majorBidi" w:cstheme="majorBidi"/>
          <w:sz w:val="24"/>
          <w:szCs w:val="24"/>
        </w:rPr>
        <w:t xml:space="preserve"> </w:t>
      </w:r>
      <w:r w:rsidR="00C326F1">
        <w:rPr>
          <w:rFonts w:asciiTheme="majorBidi" w:eastAsia="Times New Roman" w:hAnsiTheme="majorBidi" w:cstheme="majorBidi"/>
          <w:sz w:val="24"/>
          <w:szCs w:val="24"/>
        </w:rPr>
        <w:t>in Labor</w:t>
      </w:r>
      <w:r w:rsidR="00C326F1" w:rsidRPr="00DC3108">
        <w:rPr>
          <w:rFonts w:asciiTheme="majorBidi" w:eastAsia="Times New Roman" w:hAnsiTheme="majorBidi" w:cstheme="majorBidi"/>
          <w:sz w:val="24"/>
          <w:szCs w:val="24"/>
        </w:rPr>
        <w:t xml:space="preserve"> Force 2020</w:t>
      </w:r>
      <w:r w:rsidR="00C326F1">
        <w:rPr>
          <w:rFonts w:asciiTheme="majorBidi" w:eastAsia="Times New Roman" w:hAnsiTheme="majorBidi" w:cstheme="majorBidi"/>
          <w:sz w:val="24"/>
          <w:szCs w:val="24"/>
        </w:rPr>
        <w:t xml:space="preserve"> survey there was no fieldwork activities </w:t>
      </w:r>
      <w:r w:rsidR="00DC3108">
        <w:rPr>
          <w:rFonts w:asciiTheme="majorBidi" w:eastAsia="Times New Roman" w:hAnsiTheme="majorBidi" w:cstheme="majorBidi"/>
          <w:sz w:val="24"/>
          <w:szCs w:val="24"/>
        </w:rPr>
        <w:t xml:space="preserve">due to </w:t>
      </w:r>
      <w:r w:rsidR="00A7479E">
        <w:rPr>
          <w:rFonts w:asciiTheme="majorBidi" w:eastAsia="Times New Roman" w:hAnsiTheme="majorBidi" w:cstheme="majorBidi"/>
          <w:sz w:val="24"/>
          <w:szCs w:val="24"/>
        </w:rPr>
        <w:t xml:space="preserve">the </w:t>
      </w:r>
      <w:r w:rsidR="00DC3108">
        <w:rPr>
          <w:rFonts w:asciiTheme="majorBidi" w:eastAsia="Times New Roman" w:hAnsiTheme="majorBidi" w:cstheme="majorBidi"/>
          <w:sz w:val="24"/>
          <w:szCs w:val="24"/>
        </w:rPr>
        <w:t xml:space="preserve">lockdown forced by COVID-19 </w:t>
      </w:r>
      <w:r w:rsidR="00C326F1">
        <w:rPr>
          <w:rFonts w:asciiTheme="majorBidi" w:eastAsia="Times New Roman" w:hAnsiTheme="majorBidi" w:cstheme="majorBidi"/>
          <w:sz w:val="24"/>
          <w:szCs w:val="24"/>
        </w:rPr>
        <w:t>restrictions. Therefore</w:t>
      </w:r>
      <w:r w:rsidR="00DC3108">
        <w:rPr>
          <w:rFonts w:asciiTheme="majorBidi" w:eastAsia="Times New Roman" w:hAnsiTheme="majorBidi" w:cstheme="majorBidi"/>
          <w:sz w:val="24"/>
          <w:szCs w:val="24"/>
        </w:rPr>
        <w:t>, the indicators relative to the e</w:t>
      </w:r>
      <w:r w:rsidR="00DC3108" w:rsidRPr="00DC3108">
        <w:rPr>
          <w:rFonts w:asciiTheme="majorBidi" w:eastAsia="Times New Roman" w:hAnsiTheme="majorBidi" w:cstheme="majorBidi"/>
          <w:sz w:val="24"/>
          <w:szCs w:val="24"/>
        </w:rPr>
        <w:t>valuation of the respondent and the interview environment</w:t>
      </w:r>
      <w:r w:rsidR="00DC3108">
        <w:rPr>
          <w:rFonts w:asciiTheme="majorBidi" w:eastAsia="Times New Roman" w:hAnsiTheme="majorBidi" w:cstheme="majorBidi"/>
          <w:sz w:val="24"/>
          <w:szCs w:val="24"/>
        </w:rPr>
        <w:t xml:space="preserve"> </w:t>
      </w:r>
      <w:r w:rsidR="00A7479E">
        <w:rPr>
          <w:rFonts w:asciiTheme="majorBidi" w:eastAsia="Times New Roman" w:hAnsiTheme="majorBidi" w:cstheme="majorBidi"/>
          <w:sz w:val="24"/>
          <w:szCs w:val="24"/>
        </w:rPr>
        <w:t>as well as</w:t>
      </w:r>
      <w:r w:rsidR="00DC3108">
        <w:rPr>
          <w:rFonts w:asciiTheme="majorBidi" w:eastAsia="Times New Roman" w:hAnsiTheme="majorBidi" w:cstheme="majorBidi"/>
          <w:sz w:val="24"/>
          <w:szCs w:val="24"/>
        </w:rPr>
        <w:t xml:space="preserve"> the monitoring of </w:t>
      </w:r>
      <w:r w:rsidR="00C326F1">
        <w:rPr>
          <w:rFonts w:asciiTheme="majorBidi" w:eastAsia="Times New Roman" w:hAnsiTheme="majorBidi" w:cstheme="majorBidi"/>
          <w:sz w:val="24"/>
          <w:szCs w:val="24"/>
        </w:rPr>
        <w:t>fieldwork</w:t>
      </w:r>
      <w:r w:rsidR="00DC3108">
        <w:rPr>
          <w:rFonts w:asciiTheme="majorBidi" w:eastAsia="Times New Roman" w:hAnsiTheme="majorBidi" w:cstheme="majorBidi"/>
          <w:sz w:val="24"/>
          <w:szCs w:val="24"/>
        </w:rPr>
        <w:t xml:space="preserve"> activities are not applicable in this case.</w:t>
      </w:r>
    </w:p>
    <w:p w14:paraId="25D3377F" w14:textId="77777777" w:rsidR="00A7479E" w:rsidRDefault="00A7479E" w:rsidP="00A7479E">
      <w:pPr>
        <w:tabs>
          <w:tab w:val="left" w:pos="540"/>
        </w:tabs>
        <w:spacing w:after="0" w:line="240" w:lineRule="auto"/>
        <w:jc w:val="both"/>
        <w:rPr>
          <w:rFonts w:asciiTheme="majorBidi" w:eastAsia="Times New Roman" w:hAnsiTheme="majorBidi" w:cstheme="majorBidi"/>
          <w:sz w:val="24"/>
          <w:szCs w:val="24"/>
        </w:rPr>
      </w:pPr>
    </w:p>
    <w:p w14:paraId="1A318030" w14:textId="780F722C" w:rsidR="00EF36C6" w:rsidRPr="00AE4292" w:rsidRDefault="00EF36C6" w:rsidP="00AE4292">
      <w:pPr>
        <w:pStyle w:val="ListParagraph"/>
        <w:numPr>
          <w:ilvl w:val="1"/>
          <w:numId w:val="1"/>
        </w:numPr>
        <w:tabs>
          <w:tab w:val="left" w:pos="426"/>
        </w:tabs>
        <w:spacing w:after="0" w:line="360" w:lineRule="auto"/>
        <w:ind w:hanging="630"/>
        <w:jc w:val="both"/>
        <w:rPr>
          <w:rFonts w:asciiTheme="majorBidi" w:eastAsia="Times New Roman" w:hAnsiTheme="majorBidi" w:cstheme="majorBidi"/>
          <w:b/>
          <w:bCs/>
          <w:sz w:val="24"/>
          <w:szCs w:val="24"/>
          <w:rtl/>
        </w:rPr>
      </w:pPr>
      <w:r w:rsidRPr="00AE4292">
        <w:rPr>
          <w:rFonts w:asciiTheme="majorBidi" w:eastAsia="Times New Roman" w:hAnsiTheme="majorBidi" w:cstheme="majorBidi"/>
          <w:b/>
          <w:bCs/>
          <w:sz w:val="24"/>
          <w:szCs w:val="24"/>
        </w:rPr>
        <w:t>Data Assessment through DESAP</w:t>
      </w:r>
    </w:p>
    <w:p w14:paraId="133D3369" w14:textId="409FA637" w:rsidR="00ED10C0" w:rsidRDefault="00ED10C0" w:rsidP="00F26EA6">
      <w:pPr>
        <w:pStyle w:val="ListParagraph"/>
        <w:spacing w:after="0" w:line="240" w:lineRule="auto"/>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PCBS</w:t>
      </w:r>
      <w:r w:rsidRPr="00ED10C0">
        <w:rPr>
          <w:rFonts w:asciiTheme="majorBidi" w:eastAsia="Times New Roman" w:hAnsiTheme="majorBidi" w:cstheme="majorBidi"/>
          <w:sz w:val="24"/>
          <w:szCs w:val="24"/>
        </w:rPr>
        <w:t xml:space="preserve"> adopts the self-evaluation of project managers</w:t>
      </w:r>
      <w:r w:rsidR="003875CA">
        <w:rPr>
          <w:rFonts w:asciiTheme="majorBidi" w:eastAsia="Times New Roman" w:hAnsiTheme="majorBidi" w:cstheme="majorBidi"/>
          <w:sz w:val="24"/>
          <w:szCs w:val="24"/>
        </w:rPr>
        <w:t>’</w:t>
      </w:r>
      <w:r w:rsidRPr="00ED10C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program as </w:t>
      </w:r>
      <w:r w:rsidR="00F26EA6">
        <w:rPr>
          <w:rFonts w:asciiTheme="majorBidi" w:eastAsia="Times New Roman" w:hAnsiTheme="majorBidi" w:cstheme="majorBidi"/>
          <w:sz w:val="24"/>
          <w:szCs w:val="24"/>
        </w:rPr>
        <w:t xml:space="preserve">a tool </w:t>
      </w:r>
      <w:r w:rsidR="00181CB1">
        <w:rPr>
          <w:rFonts w:asciiTheme="majorBidi" w:eastAsia="Times New Roman" w:hAnsiTheme="majorBidi" w:cstheme="majorBidi"/>
          <w:sz w:val="24"/>
          <w:szCs w:val="24"/>
        </w:rPr>
        <w:t xml:space="preserve">of data quality assessment based on </w:t>
      </w:r>
      <w:r w:rsidR="00181CB1" w:rsidRPr="00ED10C0">
        <w:rPr>
          <w:rFonts w:asciiTheme="majorBidi" w:eastAsia="Times New Roman" w:hAnsiTheme="majorBidi" w:cstheme="majorBidi"/>
          <w:sz w:val="24"/>
          <w:szCs w:val="24"/>
        </w:rPr>
        <w:t xml:space="preserve">the </w:t>
      </w:r>
      <w:r w:rsidR="00181CB1" w:rsidRPr="005620DE">
        <w:rPr>
          <w:rFonts w:asciiTheme="majorBidi" w:eastAsia="Times New Roman" w:hAnsiTheme="majorBidi" w:cstheme="majorBidi"/>
          <w:sz w:val="24"/>
          <w:szCs w:val="24"/>
        </w:rPr>
        <w:t xml:space="preserve">European Self-Assessment Checklist for Survey Management </w:t>
      </w:r>
      <w:r w:rsidRPr="005620DE">
        <w:rPr>
          <w:rFonts w:asciiTheme="majorBidi" w:eastAsia="Times New Roman" w:hAnsiTheme="majorBidi" w:cstheme="majorBidi"/>
          <w:sz w:val="24"/>
          <w:szCs w:val="24"/>
        </w:rPr>
        <w:t>project</w:t>
      </w:r>
      <w:r>
        <w:rPr>
          <w:rFonts w:asciiTheme="majorBidi" w:eastAsia="Times New Roman" w:hAnsiTheme="majorBidi" w:cstheme="majorBidi"/>
          <w:sz w:val="24"/>
          <w:szCs w:val="24"/>
        </w:rPr>
        <w:t>s</w:t>
      </w:r>
      <w:r w:rsidRPr="005620DE">
        <w:rPr>
          <w:rFonts w:asciiTheme="majorBidi" w:eastAsia="Times New Roman" w:hAnsiTheme="majorBidi" w:cstheme="majorBidi"/>
          <w:sz w:val="24"/>
          <w:szCs w:val="24"/>
        </w:rPr>
        <w:t xml:space="preserve"> and survey</w:t>
      </w:r>
      <w:r>
        <w:rPr>
          <w:rFonts w:asciiTheme="majorBidi" w:eastAsia="Times New Roman" w:hAnsiTheme="majorBidi" w:cstheme="majorBidi"/>
          <w:sz w:val="24"/>
          <w:szCs w:val="24"/>
        </w:rPr>
        <w:t>s managers</w:t>
      </w:r>
      <w:r w:rsidR="00F26EA6">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F26EA6">
        <w:rPr>
          <w:rFonts w:asciiTheme="majorBidi" w:eastAsia="Times New Roman" w:hAnsiTheme="majorBidi" w:cstheme="majorBidi"/>
          <w:sz w:val="24"/>
          <w:szCs w:val="24"/>
        </w:rPr>
        <w:t xml:space="preserve">The translated questionnaire related to this program focuses </w:t>
      </w:r>
      <w:r w:rsidRPr="00ED10C0">
        <w:rPr>
          <w:rFonts w:asciiTheme="majorBidi" w:eastAsia="Times New Roman" w:hAnsiTheme="majorBidi" w:cstheme="majorBidi"/>
          <w:sz w:val="24"/>
          <w:szCs w:val="24"/>
        </w:rPr>
        <w:t>on the basic indicators that are directly related to the quality indicators</w:t>
      </w:r>
      <w:r w:rsidR="00F26EA6">
        <w:rPr>
          <w:rFonts w:asciiTheme="majorBidi" w:eastAsia="Times New Roman" w:hAnsiTheme="majorBidi" w:cstheme="majorBidi"/>
          <w:sz w:val="24"/>
          <w:szCs w:val="24"/>
        </w:rPr>
        <w:t xml:space="preserve">. </w:t>
      </w:r>
    </w:p>
    <w:p w14:paraId="09F37BFF" w14:textId="07BB5490" w:rsidR="00F26EA6" w:rsidRDefault="00F26EA6" w:rsidP="00F26EA6">
      <w:pPr>
        <w:pStyle w:val="ListParagraph"/>
        <w:spacing w:after="0" w:line="240" w:lineRule="auto"/>
        <w:ind w:left="0"/>
        <w:jc w:val="both"/>
        <w:rPr>
          <w:rFonts w:asciiTheme="majorBidi" w:eastAsia="Times New Roman" w:hAnsiTheme="majorBidi" w:cstheme="majorBidi"/>
          <w:sz w:val="24"/>
          <w:szCs w:val="24"/>
        </w:rPr>
      </w:pPr>
    </w:p>
    <w:p w14:paraId="38A7DE25" w14:textId="69499B59" w:rsidR="007C46A2" w:rsidRDefault="00B917ED" w:rsidP="007C46A2">
      <w:pPr>
        <w:pStyle w:val="ListParagraph"/>
        <w:spacing w:after="0" w:line="240" w:lineRule="auto"/>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007C46A2" w:rsidRPr="00ED10C0">
        <w:rPr>
          <w:rFonts w:asciiTheme="majorBidi" w:eastAsia="Times New Roman" w:hAnsiTheme="majorBidi" w:cstheme="majorBidi"/>
          <w:sz w:val="24"/>
          <w:szCs w:val="24"/>
        </w:rPr>
        <w:t>he basic indicators</w:t>
      </w:r>
      <w:r w:rsidR="007C46A2">
        <w:rPr>
          <w:rFonts w:asciiTheme="majorBidi" w:eastAsia="Times New Roman" w:hAnsiTheme="majorBidi" w:cstheme="majorBidi"/>
          <w:sz w:val="24"/>
          <w:szCs w:val="24"/>
        </w:rPr>
        <w:t xml:space="preserve"> related to the accuracy dimension addressed in the questionnaire are:</w:t>
      </w:r>
    </w:p>
    <w:p w14:paraId="49FACD31" w14:textId="1C22B7E9" w:rsidR="007C46A2" w:rsidRPr="007C46A2" w:rsidRDefault="007C46A2" w:rsidP="007C46A2">
      <w:pPr>
        <w:pStyle w:val="ListParagraph"/>
        <w:spacing w:after="0" w:line="240" w:lineRule="auto"/>
        <w:jc w:val="both"/>
        <w:rPr>
          <w:rFonts w:asciiTheme="majorBidi" w:eastAsia="Times New Roman" w:hAnsiTheme="majorBidi" w:cstheme="majorBidi"/>
          <w:sz w:val="24"/>
          <w:szCs w:val="24"/>
        </w:rPr>
      </w:pPr>
      <w:r w:rsidRPr="007C46A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Over Coverage</w:t>
      </w:r>
      <w:r w:rsidRPr="007C46A2">
        <w:rPr>
          <w:rFonts w:asciiTheme="majorBidi" w:eastAsia="Times New Roman" w:hAnsiTheme="majorBidi" w:cstheme="majorBidi"/>
          <w:sz w:val="24"/>
          <w:szCs w:val="24"/>
        </w:rPr>
        <w:t>.</w:t>
      </w:r>
    </w:p>
    <w:p w14:paraId="359EB847" w14:textId="563DF7E2" w:rsidR="007C46A2" w:rsidRPr="007C46A2" w:rsidRDefault="007C46A2" w:rsidP="007C46A2">
      <w:pPr>
        <w:pStyle w:val="ListParagraph"/>
        <w:spacing w:after="0" w:line="240" w:lineRule="auto"/>
        <w:jc w:val="both"/>
        <w:rPr>
          <w:rFonts w:asciiTheme="majorBidi" w:eastAsia="Times New Roman" w:hAnsiTheme="majorBidi" w:cstheme="majorBidi"/>
          <w:sz w:val="24"/>
          <w:szCs w:val="24"/>
        </w:rPr>
      </w:pPr>
      <w:r w:rsidRPr="007C46A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Under Coverage</w:t>
      </w:r>
      <w:r w:rsidRPr="007C46A2">
        <w:rPr>
          <w:rFonts w:asciiTheme="majorBidi" w:eastAsia="Times New Roman" w:hAnsiTheme="majorBidi" w:cstheme="majorBidi"/>
          <w:sz w:val="24"/>
          <w:szCs w:val="24"/>
        </w:rPr>
        <w:t>.</w:t>
      </w:r>
    </w:p>
    <w:p w14:paraId="25104FB7" w14:textId="6B293321" w:rsidR="007C46A2" w:rsidRPr="007C46A2" w:rsidRDefault="007C46A2" w:rsidP="007C46A2">
      <w:pPr>
        <w:pStyle w:val="ListParagraph"/>
        <w:spacing w:after="0" w:line="240" w:lineRule="auto"/>
        <w:jc w:val="both"/>
        <w:rPr>
          <w:rFonts w:asciiTheme="majorBidi" w:eastAsia="Times New Roman" w:hAnsiTheme="majorBidi" w:cstheme="majorBidi"/>
          <w:sz w:val="24"/>
          <w:szCs w:val="24"/>
        </w:rPr>
      </w:pPr>
      <w:r w:rsidRPr="007C46A2">
        <w:rPr>
          <w:rFonts w:asciiTheme="majorBidi" w:eastAsia="Times New Roman" w:hAnsiTheme="majorBidi" w:cstheme="majorBidi"/>
          <w:sz w:val="24"/>
          <w:szCs w:val="24"/>
        </w:rPr>
        <w:t>• Classifications</w:t>
      </w:r>
      <w:r>
        <w:rPr>
          <w:rFonts w:asciiTheme="majorBidi" w:eastAsia="Times New Roman" w:hAnsiTheme="majorBidi" w:cstheme="majorBidi"/>
          <w:sz w:val="24"/>
          <w:szCs w:val="24"/>
        </w:rPr>
        <w:t xml:space="preserve"> used</w:t>
      </w:r>
      <w:r w:rsidRPr="007C46A2">
        <w:rPr>
          <w:rFonts w:asciiTheme="majorBidi" w:eastAsia="Times New Roman" w:hAnsiTheme="majorBidi" w:cstheme="majorBidi"/>
          <w:sz w:val="24"/>
          <w:szCs w:val="24"/>
        </w:rPr>
        <w:t>.</w:t>
      </w:r>
    </w:p>
    <w:p w14:paraId="7DCEE3BD" w14:textId="30964B24" w:rsidR="007C46A2" w:rsidRPr="007C46A2" w:rsidRDefault="007C46A2" w:rsidP="007C46A2">
      <w:pPr>
        <w:pStyle w:val="ListParagraph"/>
        <w:spacing w:after="0" w:line="240" w:lineRule="auto"/>
        <w:jc w:val="both"/>
        <w:rPr>
          <w:rFonts w:asciiTheme="majorBidi" w:eastAsia="Times New Roman" w:hAnsiTheme="majorBidi" w:cstheme="majorBidi"/>
          <w:sz w:val="24"/>
          <w:szCs w:val="24"/>
        </w:rPr>
      </w:pPr>
      <w:r w:rsidRPr="007C46A2">
        <w:rPr>
          <w:rFonts w:asciiTheme="majorBidi" w:eastAsia="Times New Roman" w:hAnsiTheme="majorBidi" w:cstheme="majorBidi"/>
          <w:sz w:val="24"/>
          <w:szCs w:val="24"/>
        </w:rPr>
        <w:t>• Audit</w:t>
      </w:r>
      <w:r>
        <w:rPr>
          <w:rFonts w:asciiTheme="majorBidi" w:eastAsia="Times New Roman" w:hAnsiTheme="majorBidi" w:cstheme="majorBidi"/>
          <w:sz w:val="24"/>
          <w:szCs w:val="24"/>
        </w:rPr>
        <w:t>ing</w:t>
      </w:r>
      <w:r w:rsidRPr="007C46A2">
        <w:rPr>
          <w:rFonts w:asciiTheme="majorBidi" w:eastAsia="Times New Roman" w:hAnsiTheme="majorBidi" w:cstheme="majorBidi"/>
          <w:sz w:val="24"/>
          <w:szCs w:val="24"/>
        </w:rPr>
        <w:t xml:space="preserve"> of raw data.</w:t>
      </w:r>
    </w:p>
    <w:p w14:paraId="0503B5B6" w14:textId="28866289" w:rsidR="007C46A2" w:rsidRPr="007C46A2" w:rsidRDefault="007C46A2" w:rsidP="007C46A2">
      <w:pPr>
        <w:pStyle w:val="ListParagraph"/>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Coefficient of Variation</w:t>
      </w:r>
      <w:r w:rsidRPr="007C46A2">
        <w:rPr>
          <w:rFonts w:asciiTheme="majorBidi" w:eastAsia="Times New Roman" w:hAnsiTheme="majorBidi" w:cstheme="majorBidi"/>
          <w:sz w:val="24"/>
          <w:szCs w:val="24"/>
        </w:rPr>
        <w:t>.</w:t>
      </w:r>
    </w:p>
    <w:p w14:paraId="7A5EB7E4" w14:textId="5641E69A" w:rsidR="007C46A2" w:rsidRPr="007C46A2" w:rsidRDefault="007C46A2" w:rsidP="007C46A2">
      <w:pPr>
        <w:pStyle w:val="ListParagraph"/>
        <w:spacing w:after="0" w:line="240" w:lineRule="auto"/>
        <w:jc w:val="both"/>
        <w:rPr>
          <w:rFonts w:asciiTheme="majorBidi" w:eastAsia="Times New Roman" w:hAnsiTheme="majorBidi" w:cstheme="majorBidi"/>
          <w:sz w:val="24"/>
          <w:szCs w:val="24"/>
        </w:rPr>
      </w:pPr>
      <w:r w:rsidRPr="007C46A2">
        <w:rPr>
          <w:rFonts w:asciiTheme="majorBidi" w:eastAsia="Times New Roman" w:hAnsiTheme="majorBidi" w:cstheme="majorBidi"/>
          <w:sz w:val="24"/>
          <w:szCs w:val="24"/>
        </w:rPr>
        <w:t xml:space="preserve">• Total </w:t>
      </w:r>
      <w:r>
        <w:rPr>
          <w:rFonts w:asciiTheme="majorBidi" w:eastAsia="Times New Roman" w:hAnsiTheme="majorBidi" w:cstheme="majorBidi"/>
          <w:sz w:val="24"/>
          <w:szCs w:val="24"/>
        </w:rPr>
        <w:t>non-</w:t>
      </w:r>
      <w:r w:rsidRPr="007C46A2">
        <w:rPr>
          <w:rFonts w:asciiTheme="majorBidi" w:eastAsia="Times New Roman" w:hAnsiTheme="majorBidi" w:cstheme="majorBidi"/>
          <w:sz w:val="24"/>
          <w:szCs w:val="24"/>
        </w:rPr>
        <w:t>response.</w:t>
      </w:r>
    </w:p>
    <w:p w14:paraId="3A2107B0" w14:textId="4E79F1D8" w:rsidR="007C46A2" w:rsidRDefault="007C46A2" w:rsidP="007C46A2">
      <w:pPr>
        <w:pStyle w:val="ListParagraph"/>
        <w:spacing w:after="0" w:line="240" w:lineRule="auto"/>
        <w:jc w:val="both"/>
        <w:rPr>
          <w:rFonts w:asciiTheme="majorBidi" w:eastAsia="Times New Roman" w:hAnsiTheme="majorBidi" w:cstheme="majorBidi"/>
          <w:sz w:val="24"/>
          <w:szCs w:val="24"/>
        </w:rPr>
      </w:pPr>
      <w:r w:rsidRPr="007C46A2">
        <w:rPr>
          <w:rFonts w:asciiTheme="majorBidi" w:eastAsia="Times New Roman" w:hAnsiTheme="majorBidi" w:cstheme="majorBidi"/>
          <w:sz w:val="24"/>
          <w:szCs w:val="24"/>
        </w:rPr>
        <w:t xml:space="preserve">• Partial </w:t>
      </w:r>
      <w:r>
        <w:rPr>
          <w:rFonts w:asciiTheme="majorBidi" w:eastAsia="Times New Roman" w:hAnsiTheme="majorBidi" w:cstheme="majorBidi"/>
          <w:sz w:val="24"/>
          <w:szCs w:val="24"/>
        </w:rPr>
        <w:t>non-</w:t>
      </w:r>
      <w:r w:rsidRPr="007C46A2">
        <w:rPr>
          <w:rFonts w:asciiTheme="majorBidi" w:eastAsia="Times New Roman" w:hAnsiTheme="majorBidi" w:cstheme="majorBidi"/>
          <w:sz w:val="24"/>
          <w:szCs w:val="24"/>
        </w:rPr>
        <w:t>response.</w:t>
      </w:r>
    </w:p>
    <w:p w14:paraId="732E9476" w14:textId="77777777" w:rsidR="007C46A2" w:rsidRDefault="007C46A2" w:rsidP="007C46A2">
      <w:pPr>
        <w:pStyle w:val="ListParagraph"/>
        <w:spacing w:after="0" w:line="240" w:lineRule="auto"/>
        <w:jc w:val="both"/>
        <w:rPr>
          <w:rFonts w:asciiTheme="majorBidi" w:eastAsia="Times New Roman" w:hAnsiTheme="majorBidi" w:cstheme="majorBidi"/>
          <w:sz w:val="24"/>
          <w:szCs w:val="24"/>
        </w:rPr>
      </w:pPr>
    </w:p>
    <w:p w14:paraId="63383458" w14:textId="0BB99359" w:rsidR="00F26EA6" w:rsidRDefault="002548BF" w:rsidP="00A66BA6">
      <w:pPr>
        <w:pStyle w:val="ListParagraph"/>
        <w:spacing w:after="0" w:line="240" w:lineRule="auto"/>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Considering t</w:t>
      </w:r>
      <w:r w:rsidR="003875CA" w:rsidRPr="003875CA">
        <w:rPr>
          <w:rFonts w:asciiTheme="majorBidi" w:eastAsia="Times New Roman" w:hAnsiTheme="majorBidi" w:cstheme="majorBidi"/>
          <w:sz w:val="24"/>
          <w:szCs w:val="24"/>
        </w:rPr>
        <w:t xml:space="preserve">he results of the project managers' self-assessment at the level of accuracy </w:t>
      </w:r>
      <w:r w:rsidR="003875CA">
        <w:rPr>
          <w:rFonts w:asciiTheme="majorBidi" w:eastAsia="Times New Roman" w:hAnsiTheme="majorBidi" w:cstheme="majorBidi"/>
          <w:sz w:val="24"/>
          <w:szCs w:val="24"/>
        </w:rPr>
        <w:t xml:space="preserve">dimension </w:t>
      </w:r>
      <w:r w:rsidR="003875CA" w:rsidRPr="003875CA">
        <w:rPr>
          <w:rFonts w:asciiTheme="majorBidi" w:eastAsia="Times New Roman" w:hAnsiTheme="majorBidi" w:cstheme="majorBidi"/>
          <w:sz w:val="24"/>
          <w:szCs w:val="24"/>
        </w:rPr>
        <w:t>for both C</w:t>
      </w:r>
      <w:r w:rsidR="003875CA">
        <w:rPr>
          <w:rFonts w:asciiTheme="majorBidi" w:eastAsia="Times New Roman" w:hAnsiTheme="majorBidi" w:cstheme="majorBidi"/>
          <w:sz w:val="24"/>
          <w:szCs w:val="24"/>
        </w:rPr>
        <w:t xml:space="preserve">OVID-19 and </w:t>
      </w:r>
      <w:r w:rsidR="00A66BA6">
        <w:rPr>
          <w:rFonts w:asciiTheme="majorBidi" w:eastAsia="Times New Roman" w:hAnsiTheme="majorBidi" w:cstheme="majorBidi"/>
          <w:sz w:val="24"/>
          <w:szCs w:val="24"/>
        </w:rPr>
        <w:t>LFS</w:t>
      </w:r>
      <w:r w:rsidR="003875CA">
        <w:rPr>
          <w:rFonts w:asciiTheme="majorBidi" w:eastAsia="Times New Roman" w:hAnsiTheme="majorBidi" w:cstheme="majorBidi"/>
          <w:sz w:val="24"/>
          <w:szCs w:val="24"/>
        </w:rPr>
        <w:t xml:space="preserve"> 2020</w:t>
      </w:r>
      <w:r w:rsidR="000700D9">
        <w:rPr>
          <w:rFonts w:asciiTheme="majorBidi" w:eastAsia="Times New Roman" w:hAnsiTheme="majorBidi" w:cstheme="majorBidi"/>
          <w:sz w:val="24"/>
          <w:szCs w:val="24"/>
        </w:rPr>
        <w:t xml:space="preserve"> through the related indicators, </w:t>
      </w:r>
      <w:r>
        <w:rPr>
          <w:rFonts w:asciiTheme="majorBidi" w:eastAsia="Times New Roman" w:hAnsiTheme="majorBidi" w:cstheme="majorBidi"/>
          <w:sz w:val="24"/>
          <w:szCs w:val="24"/>
        </w:rPr>
        <w:t xml:space="preserve">the percentage of commitment to the accuracy dimension found to be </w:t>
      </w:r>
      <w:r w:rsidR="000700D9">
        <w:rPr>
          <w:rFonts w:asciiTheme="majorBidi" w:eastAsia="Times New Roman" w:hAnsiTheme="majorBidi" w:cstheme="majorBidi"/>
          <w:sz w:val="24"/>
          <w:szCs w:val="24"/>
        </w:rPr>
        <w:t>83% for both surveys.</w:t>
      </w:r>
      <w:r w:rsidR="003239A0">
        <w:rPr>
          <w:rFonts w:asciiTheme="majorBidi" w:eastAsia="Times New Roman" w:hAnsiTheme="majorBidi" w:cstheme="majorBidi"/>
          <w:sz w:val="24"/>
          <w:szCs w:val="24"/>
        </w:rPr>
        <w:t xml:space="preserve"> The results based on each indicator </w:t>
      </w:r>
      <w:r w:rsidR="009F722D">
        <w:rPr>
          <w:rFonts w:asciiTheme="majorBidi" w:eastAsia="Times New Roman" w:hAnsiTheme="majorBidi" w:cstheme="majorBidi"/>
          <w:sz w:val="24"/>
          <w:szCs w:val="24"/>
        </w:rPr>
        <w:t xml:space="preserve">between </w:t>
      </w:r>
      <w:r w:rsidR="00A66BA6">
        <w:rPr>
          <w:rFonts w:asciiTheme="majorBidi" w:eastAsia="Times New Roman" w:hAnsiTheme="majorBidi" w:cstheme="majorBidi"/>
          <w:sz w:val="24"/>
          <w:szCs w:val="24"/>
        </w:rPr>
        <w:t>two different cycles</w:t>
      </w:r>
      <w:r w:rsidR="009F722D">
        <w:rPr>
          <w:rFonts w:asciiTheme="majorBidi" w:eastAsia="Times New Roman" w:hAnsiTheme="majorBidi" w:cstheme="majorBidi"/>
          <w:sz w:val="24"/>
          <w:szCs w:val="24"/>
        </w:rPr>
        <w:t xml:space="preserve"> of both surveys </w:t>
      </w:r>
      <w:r w:rsidR="003239A0">
        <w:rPr>
          <w:rFonts w:asciiTheme="majorBidi" w:eastAsia="Times New Roman" w:hAnsiTheme="majorBidi" w:cstheme="majorBidi"/>
          <w:sz w:val="24"/>
          <w:szCs w:val="24"/>
        </w:rPr>
        <w:t>are illustrated below:</w:t>
      </w:r>
    </w:p>
    <w:tbl>
      <w:tblPr>
        <w:tblStyle w:val="TableGrid"/>
        <w:tblW w:w="0" w:type="auto"/>
        <w:jc w:val="center"/>
        <w:tblLook w:val="04A0" w:firstRow="1" w:lastRow="0" w:firstColumn="1" w:lastColumn="0" w:noHBand="0" w:noVBand="1"/>
      </w:tblPr>
      <w:tblGrid>
        <w:gridCol w:w="7707"/>
      </w:tblGrid>
      <w:tr w:rsidR="003239A0" w14:paraId="7C98DEB5" w14:textId="77777777" w:rsidTr="00B9790D">
        <w:trPr>
          <w:jc w:val="center"/>
        </w:trPr>
        <w:tc>
          <w:tcPr>
            <w:tcW w:w="7707" w:type="dxa"/>
          </w:tcPr>
          <w:p w14:paraId="6C510E27" w14:textId="3C25AC4B" w:rsidR="003239A0" w:rsidRDefault="00B9790D" w:rsidP="000700D9">
            <w:pPr>
              <w:pStyle w:val="ListParagraph"/>
              <w:ind w:left="0"/>
              <w:jc w:val="both"/>
              <w:rPr>
                <w:rFonts w:asciiTheme="majorBidi" w:eastAsia="Times New Roman" w:hAnsiTheme="majorBidi" w:cstheme="majorBidi"/>
                <w:sz w:val="24"/>
                <w:szCs w:val="24"/>
              </w:rPr>
            </w:pPr>
            <w:r>
              <w:rPr>
                <w:noProof/>
              </w:rPr>
              <w:lastRenderedPageBreak/>
              <w:drawing>
                <wp:inline distT="0" distB="0" distL="0" distR="0" wp14:anchorId="0C4F9064" wp14:editId="3DA5A588">
                  <wp:extent cx="4572000" cy="28484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723BA704" w14:textId="243280A8" w:rsidR="003239A0" w:rsidRPr="00A66BA6" w:rsidRDefault="0058513D" w:rsidP="0058513D">
      <w:pPr>
        <w:pStyle w:val="ListParagraph"/>
        <w:spacing w:after="0" w:line="240" w:lineRule="auto"/>
        <w:ind w:left="0"/>
        <w:jc w:val="center"/>
        <w:rPr>
          <w:rFonts w:asciiTheme="majorBidi" w:eastAsia="Times New Roman" w:hAnsiTheme="majorBidi" w:cstheme="majorBidi"/>
          <w:sz w:val="18"/>
          <w:szCs w:val="18"/>
        </w:rPr>
      </w:pPr>
      <w:r w:rsidRPr="00A66BA6">
        <w:rPr>
          <w:rFonts w:asciiTheme="majorBidi" w:eastAsia="Times New Roman" w:hAnsiTheme="majorBidi" w:cstheme="majorBidi"/>
          <w:b/>
          <w:bCs/>
          <w:sz w:val="18"/>
          <w:szCs w:val="18"/>
        </w:rPr>
        <w:t>Fig.</w:t>
      </w:r>
      <w:r w:rsidR="00B10BAC" w:rsidRPr="00A66BA6">
        <w:rPr>
          <w:rFonts w:asciiTheme="majorBidi" w:eastAsia="Times New Roman" w:hAnsiTheme="majorBidi" w:cstheme="majorBidi"/>
          <w:b/>
          <w:bCs/>
          <w:sz w:val="18"/>
          <w:szCs w:val="18"/>
        </w:rPr>
        <w:t xml:space="preserve"> </w:t>
      </w:r>
      <w:r w:rsidRPr="00A66BA6">
        <w:rPr>
          <w:rFonts w:asciiTheme="majorBidi" w:eastAsia="Times New Roman" w:hAnsiTheme="majorBidi" w:cstheme="majorBidi"/>
          <w:b/>
          <w:bCs/>
          <w:sz w:val="18"/>
          <w:szCs w:val="18"/>
        </w:rPr>
        <w:t>1</w:t>
      </w:r>
      <w:r w:rsidRPr="00A66BA6">
        <w:rPr>
          <w:rFonts w:asciiTheme="majorBidi" w:eastAsia="Times New Roman" w:hAnsiTheme="majorBidi" w:cstheme="majorBidi"/>
          <w:sz w:val="18"/>
          <w:szCs w:val="18"/>
        </w:rPr>
        <w:t xml:space="preserve"> </w:t>
      </w:r>
      <w:proofErr w:type="gramStart"/>
      <w:r w:rsidRPr="00A66BA6">
        <w:rPr>
          <w:rFonts w:asciiTheme="majorBidi" w:eastAsia="Times New Roman" w:hAnsiTheme="majorBidi" w:cstheme="majorBidi"/>
          <w:sz w:val="18"/>
          <w:szCs w:val="18"/>
        </w:rPr>
        <w:t>The</w:t>
      </w:r>
      <w:proofErr w:type="gramEnd"/>
      <w:r w:rsidRPr="00A66BA6">
        <w:rPr>
          <w:rFonts w:asciiTheme="majorBidi" w:eastAsia="Times New Roman" w:hAnsiTheme="majorBidi" w:cstheme="majorBidi"/>
          <w:sz w:val="18"/>
          <w:szCs w:val="18"/>
        </w:rPr>
        <w:t xml:space="preserve"> percentage</w:t>
      </w:r>
      <w:r w:rsidR="00CC4184" w:rsidRPr="00A66BA6">
        <w:rPr>
          <w:rFonts w:asciiTheme="majorBidi" w:eastAsia="Times New Roman" w:hAnsiTheme="majorBidi" w:cstheme="majorBidi"/>
          <w:sz w:val="18"/>
          <w:szCs w:val="18"/>
        </w:rPr>
        <w:t>s</w:t>
      </w:r>
      <w:r w:rsidRPr="00A66BA6">
        <w:rPr>
          <w:rFonts w:asciiTheme="majorBidi" w:eastAsia="Times New Roman" w:hAnsiTheme="majorBidi" w:cstheme="majorBidi"/>
          <w:sz w:val="18"/>
          <w:szCs w:val="18"/>
        </w:rPr>
        <w:t xml:space="preserve"> of commitment to accuracy indicators of COVID-19 survey</w:t>
      </w:r>
      <w:r w:rsidR="00A66BA6" w:rsidRPr="00A66BA6">
        <w:rPr>
          <w:rFonts w:asciiTheme="majorBidi" w:eastAsia="Times New Roman" w:hAnsiTheme="majorBidi" w:cstheme="majorBidi"/>
          <w:sz w:val="18"/>
          <w:szCs w:val="18"/>
        </w:rPr>
        <w:t>, 2020, 2021</w:t>
      </w:r>
    </w:p>
    <w:p w14:paraId="6272611E" w14:textId="4006A187" w:rsidR="00C03A17" w:rsidRDefault="00C03A17" w:rsidP="000700D9">
      <w:pPr>
        <w:pStyle w:val="ListParagraph"/>
        <w:spacing w:after="0" w:line="240" w:lineRule="auto"/>
        <w:ind w:left="0"/>
        <w:jc w:val="both"/>
        <w:rPr>
          <w:rFonts w:asciiTheme="majorBidi" w:eastAsia="Times New Roman" w:hAnsiTheme="majorBidi" w:cstheme="majorBidi"/>
        </w:rPr>
      </w:pPr>
    </w:p>
    <w:p w14:paraId="596F9B8C" w14:textId="29AF2C18" w:rsidR="00B9790D" w:rsidRDefault="00B9790D" w:rsidP="000700D9">
      <w:pPr>
        <w:pStyle w:val="ListParagraph"/>
        <w:spacing w:after="0" w:line="240" w:lineRule="auto"/>
        <w:ind w:left="0"/>
        <w:jc w:val="both"/>
        <w:rPr>
          <w:rFonts w:asciiTheme="majorBidi" w:eastAsia="Times New Roman" w:hAnsiTheme="majorBidi" w:cstheme="majorBidi"/>
        </w:rPr>
      </w:pPr>
    </w:p>
    <w:tbl>
      <w:tblPr>
        <w:tblStyle w:val="TableGrid"/>
        <w:tblW w:w="0" w:type="auto"/>
        <w:jc w:val="center"/>
        <w:tblLook w:val="04A0" w:firstRow="1" w:lastRow="0" w:firstColumn="1" w:lastColumn="0" w:noHBand="0" w:noVBand="1"/>
      </w:tblPr>
      <w:tblGrid>
        <w:gridCol w:w="7563"/>
      </w:tblGrid>
      <w:tr w:rsidR="003A636C" w14:paraId="54684B2E" w14:textId="77777777" w:rsidTr="00B22731">
        <w:trPr>
          <w:jc w:val="center"/>
        </w:trPr>
        <w:tc>
          <w:tcPr>
            <w:tcW w:w="7563" w:type="dxa"/>
          </w:tcPr>
          <w:p w14:paraId="45046375" w14:textId="4F126928" w:rsidR="003A636C" w:rsidRDefault="00B9790D" w:rsidP="000700D9">
            <w:pPr>
              <w:pStyle w:val="ListParagraph"/>
              <w:ind w:left="0"/>
              <w:jc w:val="both"/>
              <w:rPr>
                <w:rFonts w:asciiTheme="majorBidi" w:eastAsia="Times New Roman" w:hAnsiTheme="majorBidi" w:cstheme="majorBidi"/>
                <w:sz w:val="24"/>
                <w:szCs w:val="24"/>
              </w:rPr>
            </w:pPr>
            <w:r>
              <w:rPr>
                <w:noProof/>
              </w:rPr>
              <w:drawing>
                <wp:inline distT="0" distB="0" distL="0" distR="0" wp14:anchorId="1058F85A" wp14:editId="24D0F1F3">
                  <wp:extent cx="4572000" cy="30956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242AD77" w14:textId="5F94DBE6" w:rsidR="003A636C" w:rsidRPr="00A66BA6" w:rsidRDefault="003A636C" w:rsidP="00B22731">
      <w:pPr>
        <w:pStyle w:val="ListParagraph"/>
        <w:spacing w:after="0" w:line="240" w:lineRule="auto"/>
        <w:ind w:left="0"/>
        <w:jc w:val="center"/>
        <w:rPr>
          <w:rFonts w:asciiTheme="majorBidi" w:eastAsia="Times New Roman" w:hAnsiTheme="majorBidi" w:cstheme="majorBidi"/>
          <w:sz w:val="20"/>
          <w:szCs w:val="20"/>
        </w:rPr>
      </w:pPr>
      <w:r w:rsidRPr="00A66BA6">
        <w:rPr>
          <w:rFonts w:asciiTheme="majorBidi" w:eastAsia="Times New Roman" w:hAnsiTheme="majorBidi" w:cstheme="majorBidi"/>
          <w:b/>
          <w:bCs/>
          <w:sz w:val="18"/>
          <w:szCs w:val="18"/>
        </w:rPr>
        <w:t>Fig.</w:t>
      </w:r>
      <w:r w:rsidR="00B10BAC" w:rsidRPr="00A66BA6">
        <w:rPr>
          <w:rFonts w:asciiTheme="majorBidi" w:eastAsia="Times New Roman" w:hAnsiTheme="majorBidi" w:cstheme="majorBidi"/>
          <w:b/>
          <w:bCs/>
          <w:sz w:val="18"/>
          <w:szCs w:val="18"/>
        </w:rPr>
        <w:t xml:space="preserve"> </w:t>
      </w:r>
      <w:r w:rsidRPr="00A66BA6">
        <w:rPr>
          <w:rFonts w:asciiTheme="majorBidi" w:eastAsia="Times New Roman" w:hAnsiTheme="majorBidi" w:cstheme="majorBidi"/>
          <w:b/>
          <w:bCs/>
          <w:sz w:val="18"/>
          <w:szCs w:val="18"/>
        </w:rPr>
        <w:t>2</w:t>
      </w:r>
      <w:r w:rsidRPr="00A66BA6">
        <w:rPr>
          <w:rFonts w:asciiTheme="majorBidi" w:eastAsia="Times New Roman" w:hAnsiTheme="majorBidi" w:cstheme="majorBidi"/>
          <w:sz w:val="18"/>
          <w:szCs w:val="18"/>
        </w:rPr>
        <w:t xml:space="preserve"> </w:t>
      </w:r>
      <w:proofErr w:type="gramStart"/>
      <w:r w:rsidRPr="00A66BA6">
        <w:rPr>
          <w:rFonts w:asciiTheme="majorBidi" w:eastAsia="Times New Roman" w:hAnsiTheme="majorBidi" w:cstheme="majorBidi"/>
          <w:sz w:val="18"/>
          <w:szCs w:val="18"/>
        </w:rPr>
        <w:t>The</w:t>
      </w:r>
      <w:proofErr w:type="gramEnd"/>
      <w:r w:rsidRPr="00A66BA6">
        <w:rPr>
          <w:rFonts w:asciiTheme="majorBidi" w:eastAsia="Times New Roman" w:hAnsiTheme="majorBidi" w:cstheme="majorBidi"/>
          <w:sz w:val="18"/>
          <w:szCs w:val="18"/>
        </w:rPr>
        <w:t xml:space="preserve"> percentage</w:t>
      </w:r>
      <w:r w:rsidR="00CC4184" w:rsidRPr="00A66BA6">
        <w:rPr>
          <w:rFonts w:asciiTheme="majorBidi" w:eastAsia="Times New Roman" w:hAnsiTheme="majorBidi" w:cstheme="majorBidi"/>
          <w:sz w:val="18"/>
          <w:szCs w:val="18"/>
        </w:rPr>
        <w:t>s</w:t>
      </w:r>
      <w:r w:rsidRPr="00A66BA6">
        <w:rPr>
          <w:rFonts w:asciiTheme="majorBidi" w:eastAsia="Times New Roman" w:hAnsiTheme="majorBidi" w:cstheme="majorBidi"/>
          <w:sz w:val="18"/>
          <w:szCs w:val="18"/>
        </w:rPr>
        <w:t xml:space="preserve"> of commitment to accuracy indicators of </w:t>
      </w:r>
      <w:r w:rsidR="00B22731">
        <w:rPr>
          <w:rFonts w:asciiTheme="majorBidi" w:eastAsia="Times New Roman" w:hAnsiTheme="majorBidi" w:cstheme="majorBidi"/>
          <w:sz w:val="18"/>
          <w:szCs w:val="18"/>
        </w:rPr>
        <w:t>LFS 2019, 2020</w:t>
      </w:r>
    </w:p>
    <w:p w14:paraId="232A4038" w14:textId="26EE5DE4" w:rsidR="00C03A17" w:rsidRPr="00A66BA6" w:rsidRDefault="00C03A17" w:rsidP="000700D9">
      <w:pPr>
        <w:pStyle w:val="ListParagraph"/>
        <w:spacing w:after="0" w:line="240" w:lineRule="auto"/>
        <w:ind w:left="0"/>
        <w:jc w:val="both"/>
        <w:rPr>
          <w:rFonts w:asciiTheme="majorBidi" w:eastAsia="Times New Roman" w:hAnsiTheme="majorBidi" w:cstheme="majorBidi"/>
        </w:rPr>
      </w:pPr>
    </w:p>
    <w:p w14:paraId="2194BA7D" w14:textId="61C30BE6" w:rsidR="00C03A17" w:rsidRPr="009F722D" w:rsidRDefault="00C03A17" w:rsidP="000700D9">
      <w:pPr>
        <w:pStyle w:val="ListParagraph"/>
        <w:spacing w:after="0" w:line="240" w:lineRule="auto"/>
        <w:ind w:left="0"/>
        <w:jc w:val="both"/>
        <w:rPr>
          <w:rFonts w:asciiTheme="majorBidi" w:eastAsia="Times New Roman" w:hAnsiTheme="majorBidi" w:cstheme="majorBidi"/>
          <w:sz w:val="24"/>
          <w:szCs w:val="24"/>
        </w:rPr>
      </w:pPr>
    </w:p>
    <w:p w14:paraId="6B40A788" w14:textId="0CAA41FF" w:rsidR="002548BF" w:rsidRDefault="00001056" w:rsidP="005E09FE">
      <w:pPr>
        <w:pStyle w:val="ListParagraph"/>
        <w:spacing w:after="0" w:line="240" w:lineRule="auto"/>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These results show that both COVID-19 and </w:t>
      </w:r>
      <w:r w:rsidR="005E09FE">
        <w:rPr>
          <w:rFonts w:asciiTheme="majorBidi" w:eastAsia="Times New Roman" w:hAnsiTheme="majorBidi" w:cstheme="majorBidi"/>
          <w:sz w:val="24"/>
          <w:szCs w:val="24"/>
        </w:rPr>
        <w:t>LF surveys</w:t>
      </w:r>
      <w:r>
        <w:rPr>
          <w:rFonts w:asciiTheme="majorBidi" w:eastAsia="Times New Roman" w:hAnsiTheme="majorBidi" w:cstheme="majorBidi"/>
          <w:sz w:val="24"/>
          <w:szCs w:val="24"/>
        </w:rPr>
        <w:t xml:space="preserve"> have a high level of commitment to accuracy indicators. </w:t>
      </w:r>
      <w:proofErr w:type="gramStart"/>
      <w:r>
        <w:rPr>
          <w:rFonts w:asciiTheme="majorBidi" w:eastAsia="Times New Roman" w:hAnsiTheme="majorBidi" w:cstheme="majorBidi"/>
          <w:sz w:val="24"/>
          <w:szCs w:val="24"/>
        </w:rPr>
        <w:t>Also</w:t>
      </w:r>
      <w:proofErr w:type="gramEnd"/>
      <w:r>
        <w:rPr>
          <w:rFonts w:asciiTheme="majorBidi" w:eastAsia="Times New Roman" w:hAnsiTheme="majorBidi" w:cstheme="majorBidi"/>
          <w:sz w:val="24"/>
          <w:szCs w:val="24"/>
        </w:rPr>
        <w:t xml:space="preserve">, it’s worth noticing that there is a slight difference between the two cycles of both </w:t>
      </w:r>
      <w:r w:rsidR="00940AFC">
        <w:rPr>
          <w:rFonts w:asciiTheme="majorBidi" w:eastAsia="Times New Roman" w:hAnsiTheme="majorBidi" w:cstheme="majorBidi"/>
          <w:sz w:val="24"/>
          <w:szCs w:val="24"/>
        </w:rPr>
        <w:t xml:space="preserve">surveys. </w:t>
      </w:r>
      <w:r>
        <w:rPr>
          <w:rFonts w:asciiTheme="majorBidi" w:eastAsia="Times New Roman" w:hAnsiTheme="majorBidi" w:cstheme="majorBidi"/>
          <w:sz w:val="24"/>
          <w:szCs w:val="24"/>
        </w:rPr>
        <w:t xml:space="preserve"> </w:t>
      </w:r>
    </w:p>
    <w:p w14:paraId="7AB284DD" w14:textId="2D9FF917" w:rsidR="006B0603" w:rsidRDefault="006B0603" w:rsidP="005E09FE">
      <w:pPr>
        <w:pStyle w:val="ListParagraph"/>
        <w:spacing w:after="0" w:line="240" w:lineRule="auto"/>
        <w:ind w:left="0"/>
        <w:jc w:val="both"/>
        <w:rPr>
          <w:rFonts w:asciiTheme="majorBidi" w:eastAsia="Times New Roman" w:hAnsiTheme="majorBidi" w:cstheme="majorBidi"/>
          <w:sz w:val="24"/>
          <w:szCs w:val="24"/>
        </w:rPr>
      </w:pPr>
    </w:p>
    <w:p w14:paraId="6D23A2EC" w14:textId="6E96BDED" w:rsidR="006B0603" w:rsidRDefault="006B0603" w:rsidP="005E09FE">
      <w:pPr>
        <w:pStyle w:val="ListParagraph"/>
        <w:spacing w:after="0" w:line="240" w:lineRule="auto"/>
        <w:ind w:left="0"/>
        <w:jc w:val="both"/>
        <w:rPr>
          <w:rFonts w:asciiTheme="majorBidi" w:eastAsia="Times New Roman" w:hAnsiTheme="majorBidi" w:cstheme="majorBidi"/>
          <w:sz w:val="24"/>
          <w:szCs w:val="24"/>
        </w:rPr>
      </w:pPr>
    </w:p>
    <w:p w14:paraId="28011001" w14:textId="77777777" w:rsidR="00AE4292" w:rsidRPr="002548BF" w:rsidRDefault="00AE4292" w:rsidP="005E09FE">
      <w:pPr>
        <w:pStyle w:val="ListParagraph"/>
        <w:spacing w:after="0" w:line="240" w:lineRule="auto"/>
        <w:ind w:left="0"/>
        <w:jc w:val="both"/>
        <w:rPr>
          <w:rFonts w:asciiTheme="majorBidi" w:eastAsia="Times New Roman" w:hAnsiTheme="majorBidi" w:cstheme="majorBidi"/>
          <w:sz w:val="24"/>
          <w:szCs w:val="24"/>
        </w:rPr>
      </w:pPr>
    </w:p>
    <w:p w14:paraId="057B8E5B" w14:textId="77777777" w:rsidR="00ED10C0" w:rsidRPr="004B72A1" w:rsidRDefault="00ED10C0" w:rsidP="005A3732">
      <w:pPr>
        <w:pStyle w:val="ListParagraph"/>
        <w:spacing w:after="0" w:line="240" w:lineRule="auto"/>
        <w:ind w:left="1080"/>
        <w:jc w:val="both"/>
        <w:rPr>
          <w:rFonts w:asciiTheme="majorBidi" w:eastAsia="Times New Roman" w:hAnsiTheme="majorBidi" w:cstheme="majorBidi"/>
          <w:b/>
          <w:bCs/>
          <w:sz w:val="24"/>
          <w:szCs w:val="24"/>
        </w:rPr>
      </w:pPr>
    </w:p>
    <w:p w14:paraId="53B8AF29" w14:textId="7A57E914" w:rsidR="009464F1" w:rsidRPr="00E85BBA" w:rsidRDefault="009464F1" w:rsidP="00BB3569">
      <w:pPr>
        <w:pStyle w:val="ListParagraph"/>
        <w:numPr>
          <w:ilvl w:val="0"/>
          <w:numId w:val="25"/>
        </w:numPr>
        <w:spacing w:after="0" w:line="240" w:lineRule="auto"/>
        <w:ind w:left="270" w:hanging="270"/>
        <w:jc w:val="both"/>
        <w:rPr>
          <w:rFonts w:asciiTheme="majorBidi" w:eastAsia="Times New Roman" w:hAnsiTheme="majorBidi" w:cstheme="majorBidi"/>
          <w:b/>
          <w:bCs/>
          <w:sz w:val="24"/>
          <w:szCs w:val="24"/>
        </w:rPr>
      </w:pPr>
      <w:r w:rsidRPr="00E85BBA">
        <w:rPr>
          <w:rFonts w:asciiTheme="majorBidi" w:eastAsia="Times New Roman" w:hAnsiTheme="majorBidi" w:cstheme="majorBidi"/>
          <w:b/>
          <w:bCs/>
          <w:sz w:val="24"/>
          <w:szCs w:val="24"/>
        </w:rPr>
        <w:lastRenderedPageBreak/>
        <w:t xml:space="preserve">Conclusion and </w:t>
      </w:r>
      <w:r w:rsidR="009C7A57">
        <w:rPr>
          <w:rFonts w:asciiTheme="majorBidi" w:eastAsia="Times New Roman" w:hAnsiTheme="majorBidi" w:cstheme="majorBidi"/>
          <w:b/>
          <w:bCs/>
          <w:sz w:val="24"/>
          <w:szCs w:val="24"/>
        </w:rPr>
        <w:t>Recommendations</w:t>
      </w:r>
    </w:p>
    <w:p w14:paraId="7EB487B1" w14:textId="05B0AB30" w:rsidR="003D175E" w:rsidRPr="003D175E" w:rsidRDefault="003D175E" w:rsidP="00504B3A">
      <w:pPr>
        <w:spacing w:after="0" w:line="240" w:lineRule="auto"/>
        <w:jc w:val="both"/>
        <w:rPr>
          <w:rFonts w:asciiTheme="majorBidi" w:eastAsia="Times New Roman" w:hAnsiTheme="majorBidi" w:cstheme="majorBidi"/>
          <w:sz w:val="24"/>
          <w:szCs w:val="24"/>
          <w:rtl/>
        </w:rPr>
      </w:pPr>
      <w:r w:rsidRPr="003D175E">
        <w:rPr>
          <w:rFonts w:asciiTheme="majorBidi" w:eastAsia="Times New Roman" w:hAnsiTheme="majorBidi" w:cstheme="majorBidi"/>
          <w:sz w:val="24"/>
          <w:szCs w:val="24"/>
        </w:rPr>
        <w:t>The experience of PCBS in using CATI mode is one of many others around the world, and it has been a successful experience based on the results issued in this paper through the assessment process. Yet, there are some opportunities for improvement to work on during the coming period, as it is possible to take into account the use of CATI mode in data collection as an auxiliary tool for data collection when implementing surveys and censuses in particular</w:t>
      </w:r>
      <w:r w:rsidR="00504B3A">
        <w:rPr>
          <w:rFonts w:asciiTheme="majorBidi" w:eastAsia="Times New Roman" w:hAnsiTheme="majorBidi" w:cstheme="majorBidi"/>
          <w:sz w:val="24"/>
          <w:szCs w:val="24"/>
        </w:rPr>
        <w:t>;</w:t>
      </w:r>
      <w:r w:rsidRPr="003D175E">
        <w:rPr>
          <w:rFonts w:asciiTheme="majorBidi" w:eastAsia="Times New Roman" w:hAnsiTheme="majorBidi" w:cstheme="majorBidi"/>
          <w:sz w:val="24"/>
          <w:szCs w:val="24"/>
        </w:rPr>
        <w:t xml:space="preserve"> which will save us a lot of time and effort..</w:t>
      </w:r>
    </w:p>
    <w:p w14:paraId="6C110746" w14:textId="77777777" w:rsidR="00A34269" w:rsidRPr="00E85BBA" w:rsidRDefault="00A34269" w:rsidP="005A3732">
      <w:pPr>
        <w:spacing w:after="0" w:line="240" w:lineRule="auto"/>
        <w:jc w:val="both"/>
        <w:rPr>
          <w:rFonts w:asciiTheme="majorBidi" w:eastAsia="Times New Roman" w:hAnsiTheme="majorBidi" w:cstheme="majorBidi"/>
          <w:sz w:val="24"/>
          <w:szCs w:val="24"/>
        </w:rPr>
      </w:pPr>
    </w:p>
    <w:p w14:paraId="6450EF74" w14:textId="591872D9" w:rsidR="00223FB4" w:rsidRDefault="00C30CC7" w:rsidP="00C24BA9">
      <w:pPr>
        <w:spacing w:after="0" w:line="240" w:lineRule="auto"/>
        <w:jc w:val="both"/>
        <w:rPr>
          <w:rFonts w:asciiTheme="majorBidi" w:eastAsia="Times New Roman" w:hAnsiTheme="majorBidi" w:cstheme="majorBidi"/>
          <w:sz w:val="24"/>
          <w:szCs w:val="24"/>
        </w:rPr>
      </w:pPr>
      <w:r w:rsidRPr="00E85BBA">
        <w:rPr>
          <w:rFonts w:asciiTheme="majorBidi" w:eastAsia="Times New Roman" w:hAnsiTheme="majorBidi" w:cstheme="majorBidi"/>
          <w:sz w:val="24"/>
          <w:szCs w:val="24"/>
        </w:rPr>
        <w:t>The current crisis is somehow serving to steer our thinking to keep looking for the alternatives</w:t>
      </w:r>
      <w:r w:rsidR="00A34269" w:rsidRPr="00E85BBA">
        <w:rPr>
          <w:rFonts w:asciiTheme="majorBidi" w:eastAsia="Times New Roman" w:hAnsiTheme="majorBidi" w:cstheme="majorBidi"/>
          <w:sz w:val="24"/>
          <w:szCs w:val="24"/>
        </w:rPr>
        <w:t xml:space="preserve"> </w:t>
      </w:r>
      <w:r w:rsidR="00C24BA9" w:rsidRPr="00E85BBA">
        <w:rPr>
          <w:rFonts w:asciiTheme="majorBidi" w:eastAsia="Times New Roman" w:hAnsiTheme="majorBidi" w:cstheme="majorBidi"/>
          <w:sz w:val="24"/>
          <w:szCs w:val="24"/>
        </w:rPr>
        <w:t xml:space="preserve">even after the age of </w:t>
      </w:r>
      <w:r w:rsidR="00C24BA9">
        <w:rPr>
          <w:rFonts w:asciiTheme="majorBidi" w:eastAsia="Times New Roman" w:hAnsiTheme="majorBidi" w:cstheme="majorBidi"/>
          <w:sz w:val="24"/>
          <w:szCs w:val="24"/>
        </w:rPr>
        <w:t>COVID-19</w:t>
      </w:r>
      <w:r w:rsidR="00C24BA9" w:rsidRPr="00E85BBA">
        <w:rPr>
          <w:rFonts w:asciiTheme="majorBidi" w:eastAsia="Times New Roman" w:hAnsiTheme="majorBidi" w:cstheme="majorBidi"/>
          <w:sz w:val="24"/>
          <w:szCs w:val="24"/>
        </w:rPr>
        <w:t xml:space="preserve"> pandemic</w:t>
      </w:r>
      <w:r w:rsidR="00C24BA9">
        <w:rPr>
          <w:rFonts w:asciiTheme="majorBidi" w:eastAsia="Times New Roman" w:hAnsiTheme="majorBidi" w:cstheme="majorBidi"/>
          <w:sz w:val="24"/>
          <w:szCs w:val="24"/>
        </w:rPr>
        <w:t>,</w:t>
      </w:r>
      <w:r w:rsidR="00C24BA9" w:rsidRPr="00E85BBA">
        <w:rPr>
          <w:rFonts w:asciiTheme="majorBidi" w:eastAsia="Times New Roman" w:hAnsiTheme="majorBidi" w:cstheme="majorBidi"/>
          <w:sz w:val="24"/>
          <w:szCs w:val="24"/>
        </w:rPr>
        <w:t xml:space="preserve"> </w:t>
      </w:r>
      <w:r w:rsidR="00DF5643">
        <w:rPr>
          <w:rFonts w:asciiTheme="majorBidi" w:eastAsia="Times New Roman" w:hAnsiTheme="majorBidi" w:cstheme="majorBidi"/>
          <w:sz w:val="24"/>
          <w:szCs w:val="24"/>
        </w:rPr>
        <w:t xml:space="preserve">where </w:t>
      </w:r>
      <w:r w:rsidR="00DA00C4">
        <w:rPr>
          <w:rFonts w:asciiTheme="majorBidi" w:eastAsia="Times New Roman" w:hAnsiTheme="majorBidi" w:cstheme="majorBidi"/>
          <w:sz w:val="24"/>
          <w:szCs w:val="24"/>
        </w:rPr>
        <w:t xml:space="preserve">the </w:t>
      </w:r>
      <w:r w:rsidR="00DF5643">
        <w:rPr>
          <w:rFonts w:asciiTheme="majorBidi" w:eastAsia="Times New Roman" w:hAnsiTheme="majorBidi" w:cstheme="majorBidi"/>
          <w:sz w:val="24"/>
          <w:szCs w:val="24"/>
        </w:rPr>
        <w:t xml:space="preserve">world wild </w:t>
      </w:r>
      <w:r w:rsidR="00DA00C4">
        <w:rPr>
          <w:rFonts w:asciiTheme="majorBidi" w:eastAsia="Times New Roman" w:hAnsiTheme="majorBidi" w:cstheme="majorBidi"/>
          <w:sz w:val="24"/>
          <w:szCs w:val="24"/>
        </w:rPr>
        <w:t xml:space="preserve">nowadays </w:t>
      </w:r>
      <w:r w:rsidR="00354C59">
        <w:rPr>
          <w:rFonts w:asciiTheme="majorBidi" w:eastAsia="Times New Roman" w:hAnsiTheme="majorBidi" w:cstheme="majorBidi"/>
          <w:sz w:val="24"/>
          <w:szCs w:val="24"/>
        </w:rPr>
        <w:t xml:space="preserve">is </w:t>
      </w:r>
      <w:r w:rsidR="00DF5643">
        <w:rPr>
          <w:rFonts w:asciiTheme="majorBidi" w:eastAsia="Times New Roman" w:hAnsiTheme="majorBidi" w:cstheme="majorBidi"/>
          <w:sz w:val="24"/>
          <w:szCs w:val="24"/>
        </w:rPr>
        <w:t>talking about the new normal in data collection</w:t>
      </w:r>
      <w:r w:rsidR="00B84FDA">
        <w:rPr>
          <w:rFonts w:asciiTheme="majorBidi" w:eastAsia="Times New Roman" w:hAnsiTheme="majorBidi" w:cstheme="majorBidi"/>
          <w:sz w:val="24"/>
          <w:szCs w:val="24"/>
        </w:rPr>
        <w:t xml:space="preserve"> </w:t>
      </w:r>
      <w:r w:rsidR="002B5065">
        <w:rPr>
          <w:rFonts w:asciiTheme="majorBidi" w:eastAsia="Times New Roman" w:hAnsiTheme="majorBidi" w:cstheme="majorBidi"/>
          <w:sz w:val="24"/>
          <w:szCs w:val="24"/>
        </w:rPr>
        <w:t>modes</w:t>
      </w:r>
      <w:r w:rsidRPr="00E85BBA">
        <w:rPr>
          <w:rFonts w:asciiTheme="majorBidi" w:eastAsia="Times New Roman" w:hAnsiTheme="majorBidi" w:cstheme="majorBidi"/>
          <w:sz w:val="24"/>
          <w:szCs w:val="24"/>
        </w:rPr>
        <w:t>.</w:t>
      </w:r>
      <w:r w:rsidR="00223FB4" w:rsidRPr="00E85BBA">
        <w:rPr>
          <w:rFonts w:asciiTheme="majorBidi" w:eastAsia="Times New Roman" w:hAnsiTheme="majorBidi" w:cstheme="majorBidi"/>
          <w:sz w:val="24"/>
          <w:szCs w:val="24"/>
        </w:rPr>
        <w:t xml:space="preserve"> </w:t>
      </w:r>
      <w:r w:rsidR="00A34269" w:rsidRPr="00E85BBA">
        <w:rPr>
          <w:rFonts w:asciiTheme="majorBidi" w:eastAsia="Times New Roman" w:hAnsiTheme="majorBidi" w:cstheme="majorBidi"/>
          <w:sz w:val="24"/>
          <w:szCs w:val="24"/>
        </w:rPr>
        <w:t>Some of the</w:t>
      </w:r>
      <w:r w:rsidR="00223FB4" w:rsidRPr="00E85BBA">
        <w:rPr>
          <w:rFonts w:asciiTheme="majorBidi" w:eastAsia="Times New Roman" w:hAnsiTheme="majorBidi" w:cstheme="majorBidi"/>
          <w:sz w:val="24"/>
          <w:szCs w:val="24"/>
        </w:rPr>
        <w:t xml:space="preserve"> recommendations </w:t>
      </w:r>
      <w:r w:rsidR="00A34269" w:rsidRPr="00E85BBA">
        <w:rPr>
          <w:rFonts w:asciiTheme="majorBidi" w:eastAsia="Times New Roman" w:hAnsiTheme="majorBidi" w:cstheme="majorBidi"/>
          <w:sz w:val="24"/>
          <w:szCs w:val="24"/>
        </w:rPr>
        <w:t xml:space="preserve">to take in consideration in the </w:t>
      </w:r>
      <w:r w:rsidR="00DA00C4">
        <w:rPr>
          <w:rFonts w:asciiTheme="majorBidi" w:eastAsia="Times New Roman" w:hAnsiTheme="majorBidi" w:cstheme="majorBidi"/>
          <w:sz w:val="24"/>
          <w:szCs w:val="24"/>
        </w:rPr>
        <w:t>foreseen</w:t>
      </w:r>
      <w:r w:rsidR="00A34269" w:rsidRPr="00E85BBA">
        <w:rPr>
          <w:rFonts w:asciiTheme="majorBidi" w:eastAsia="Times New Roman" w:hAnsiTheme="majorBidi" w:cstheme="majorBidi"/>
          <w:sz w:val="24"/>
          <w:szCs w:val="24"/>
        </w:rPr>
        <w:t xml:space="preserve"> future are:</w:t>
      </w:r>
    </w:p>
    <w:p w14:paraId="49638CF1" w14:textId="2AF06223" w:rsidR="00C24BA9" w:rsidRDefault="00BF0005" w:rsidP="00BF0005">
      <w:pPr>
        <w:pStyle w:val="ListParagraph"/>
        <w:numPr>
          <w:ilvl w:val="0"/>
          <w:numId w:val="28"/>
        </w:num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Considering the use of CATI mode in carrying out households surveys either as an auxiliary or main tool of data collection.</w:t>
      </w:r>
    </w:p>
    <w:p w14:paraId="553DD681" w14:textId="63034F8F" w:rsidR="00BF0005" w:rsidRDefault="00BF0005" w:rsidP="00BF0005">
      <w:pPr>
        <w:pStyle w:val="ListParagraph"/>
        <w:numPr>
          <w:ilvl w:val="0"/>
          <w:numId w:val="28"/>
        </w:num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case of using CATI mode, it</w:t>
      </w:r>
      <w:r w:rsidR="000F028D">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worth reconsidering the length of the survey questionnaire, as the questions must be </w:t>
      </w:r>
      <w:r w:rsidR="00B70116">
        <w:rPr>
          <w:rFonts w:asciiTheme="majorBidi" w:eastAsia="Times New Roman" w:hAnsiTheme="majorBidi" w:cstheme="majorBidi"/>
          <w:sz w:val="24"/>
          <w:szCs w:val="24"/>
        </w:rPr>
        <w:t xml:space="preserve">brief and short, in order </w:t>
      </w:r>
      <w:r w:rsidR="000F028D">
        <w:rPr>
          <w:rFonts w:asciiTheme="majorBidi" w:eastAsia="Times New Roman" w:hAnsiTheme="majorBidi" w:cstheme="majorBidi"/>
          <w:sz w:val="24"/>
          <w:szCs w:val="24"/>
        </w:rPr>
        <w:t>to reduce the burden on the respondent.</w:t>
      </w:r>
    </w:p>
    <w:p w14:paraId="11101AA3" w14:textId="26CD32D4" w:rsidR="00D35FB5" w:rsidRDefault="0010555F" w:rsidP="000705AD">
      <w:pPr>
        <w:pStyle w:val="ListParagraph"/>
        <w:numPr>
          <w:ilvl w:val="0"/>
          <w:numId w:val="28"/>
        </w:numPr>
        <w:spacing w:after="0" w:line="240" w:lineRule="auto"/>
        <w:jc w:val="both"/>
        <w:rPr>
          <w:rFonts w:asciiTheme="majorBidi" w:eastAsia="Times New Roman" w:hAnsiTheme="majorBidi" w:cstheme="majorBidi"/>
          <w:sz w:val="24"/>
          <w:szCs w:val="24"/>
        </w:rPr>
      </w:pPr>
      <w:r w:rsidRPr="0010555F">
        <w:rPr>
          <w:rFonts w:asciiTheme="majorBidi" w:eastAsia="Times New Roman" w:hAnsiTheme="majorBidi" w:cstheme="majorBidi"/>
          <w:sz w:val="24"/>
          <w:szCs w:val="24"/>
        </w:rPr>
        <w:t xml:space="preserve">It is necessary to follow an automated verification mechanism for </w:t>
      </w:r>
      <w:r>
        <w:rPr>
          <w:rFonts w:asciiTheme="majorBidi" w:eastAsia="Times New Roman" w:hAnsiTheme="majorBidi" w:cstheme="majorBidi"/>
          <w:sz w:val="24"/>
          <w:szCs w:val="24"/>
        </w:rPr>
        <w:t>landline</w:t>
      </w:r>
      <w:r w:rsidRPr="0010555F">
        <w:rPr>
          <w:rFonts w:asciiTheme="majorBidi" w:eastAsia="Times New Roman" w:hAnsiTheme="majorBidi" w:cstheme="majorBidi"/>
          <w:sz w:val="24"/>
          <w:szCs w:val="24"/>
        </w:rPr>
        <w:t xml:space="preserve"> numbers entered according to the </w:t>
      </w:r>
      <w:r w:rsidR="000705AD">
        <w:rPr>
          <w:rFonts w:asciiTheme="majorBidi" w:eastAsia="Times New Roman" w:hAnsiTheme="majorBidi" w:cstheme="majorBidi"/>
          <w:sz w:val="24"/>
          <w:szCs w:val="24"/>
        </w:rPr>
        <w:t xml:space="preserve">questionnaire, and </w:t>
      </w:r>
      <w:r w:rsidRPr="0010555F">
        <w:rPr>
          <w:rFonts w:asciiTheme="majorBidi" w:eastAsia="Times New Roman" w:hAnsiTheme="majorBidi" w:cstheme="majorBidi"/>
          <w:sz w:val="24"/>
          <w:szCs w:val="24"/>
        </w:rPr>
        <w:t xml:space="preserve">match it with an approved </w:t>
      </w:r>
      <w:r w:rsidR="000705AD">
        <w:rPr>
          <w:rFonts w:asciiTheme="majorBidi" w:eastAsia="Times New Roman" w:hAnsiTheme="majorBidi" w:cstheme="majorBidi"/>
          <w:sz w:val="24"/>
          <w:szCs w:val="24"/>
        </w:rPr>
        <w:t xml:space="preserve">landline </w:t>
      </w:r>
      <w:r w:rsidR="000705AD" w:rsidRPr="0010555F">
        <w:rPr>
          <w:rFonts w:asciiTheme="majorBidi" w:eastAsia="Times New Roman" w:hAnsiTheme="majorBidi" w:cstheme="majorBidi"/>
          <w:sz w:val="24"/>
          <w:szCs w:val="24"/>
        </w:rPr>
        <w:t>database</w:t>
      </w:r>
      <w:r w:rsidR="000705AD">
        <w:rPr>
          <w:rFonts w:asciiTheme="majorBidi" w:eastAsia="Times New Roman" w:hAnsiTheme="majorBidi" w:cstheme="majorBidi"/>
          <w:sz w:val="24"/>
          <w:szCs w:val="24"/>
        </w:rPr>
        <w:t>,</w:t>
      </w:r>
      <w:r w:rsidRPr="0010555F">
        <w:rPr>
          <w:rFonts w:asciiTheme="majorBidi" w:eastAsia="Times New Roman" w:hAnsiTheme="majorBidi" w:cstheme="majorBidi"/>
          <w:sz w:val="24"/>
          <w:szCs w:val="24"/>
        </w:rPr>
        <w:t xml:space="preserve"> </w:t>
      </w:r>
      <w:r w:rsidR="000705AD">
        <w:rPr>
          <w:rFonts w:asciiTheme="majorBidi" w:eastAsia="Times New Roman" w:hAnsiTheme="majorBidi" w:cstheme="majorBidi"/>
          <w:sz w:val="24"/>
          <w:szCs w:val="24"/>
        </w:rPr>
        <w:t xml:space="preserve">in order </w:t>
      </w:r>
      <w:r w:rsidR="000705AD" w:rsidRPr="0010555F">
        <w:rPr>
          <w:rFonts w:asciiTheme="majorBidi" w:eastAsia="Times New Roman" w:hAnsiTheme="majorBidi" w:cstheme="majorBidi"/>
          <w:sz w:val="24"/>
          <w:szCs w:val="24"/>
        </w:rPr>
        <w:t xml:space="preserve">to </w:t>
      </w:r>
      <w:r w:rsidRPr="0010555F">
        <w:rPr>
          <w:rFonts w:asciiTheme="majorBidi" w:eastAsia="Times New Roman" w:hAnsiTheme="majorBidi" w:cstheme="majorBidi"/>
          <w:sz w:val="24"/>
          <w:szCs w:val="24"/>
        </w:rPr>
        <w:t xml:space="preserve">avoid </w:t>
      </w:r>
      <w:r w:rsidR="000705AD">
        <w:rPr>
          <w:rFonts w:asciiTheme="majorBidi" w:eastAsia="Times New Roman" w:hAnsiTheme="majorBidi" w:cstheme="majorBidi"/>
          <w:sz w:val="24"/>
          <w:szCs w:val="24"/>
        </w:rPr>
        <w:t>the wrong</w:t>
      </w:r>
      <w:r w:rsidRPr="0010555F">
        <w:rPr>
          <w:rFonts w:asciiTheme="majorBidi" w:eastAsia="Times New Roman" w:hAnsiTheme="majorBidi" w:cstheme="majorBidi"/>
          <w:sz w:val="24"/>
          <w:szCs w:val="24"/>
        </w:rPr>
        <w:t xml:space="preserve"> entering </w:t>
      </w:r>
      <w:r w:rsidR="000705AD">
        <w:rPr>
          <w:rFonts w:asciiTheme="majorBidi" w:eastAsia="Times New Roman" w:hAnsiTheme="majorBidi" w:cstheme="majorBidi"/>
          <w:sz w:val="24"/>
          <w:szCs w:val="24"/>
        </w:rPr>
        <w:t>of</w:t>
      </w:r>
      <w:r w:rsidRPr="0010555F">
        <w:rPr>
          <w:rFonts w:asciiTheme="majorBidi" w:eastAsia="Times New Roman" w:hAnsiTheme="majorBidi" w:cstheme="majorBidi"/>
          <w:sz w:val="24"/>
          <w:szCs w:val="24"/>
        </w:rPr>
        <w:t xml:space="preserve"> number</w:t>
      </w:r>
      <w:r w:rsidR="000705AD">
        <w:rPr>
          <w:rFonts w:asciiTheme="majorBidi" w:eastAsia="Times New Roman" w:hAnsiTheme="majorBidi" w:cstheme="majorBidi"/>
          <w:sz w:val="24"/>
          <w:szCs w:val="24"/>
        </w:rPr>
        <w:t>s.</w:t>
      </w:r>
      <w:r w:rsidRPr="0010555F">
        <w:rPr>
          <w:rFonts w:asciiTheme="majorBidi" w:eastAsia="Times New Roman" w:hAnsiTheme="majorBidi" w:cstheme="majorBidi"/>
          <w:sz w:val="24"/>
          <w:szCs w:val="24"/>
        </w:rPr>
        <w:t xml:space="preserve"> </w:t>
      </w:r>
      <w:r w:rsidR="000705AD">
        <w:rPr>
          <w:rFonts w:asciiTheme="majorBidi" w:eastAsia="Times New Roman" w:hAnsiTheme="majorBidi" w:cstheme="majorBidi"/>
          <w:sz w:val="24"/>
          <w:szCs w:val="24"/>
        </w:rPr>
        <w:t>This mechanism</w:t>
      </w:r>
      <w:r w:rsidRPr="0010555F">
        <w:rPr>
          <w:rFonts w:asciiTheme="majorBidi" w:eastAsia="Times New Roman" w:hAnsiTheme="majorBidi" w:cstheme="majorBidi"/>
          <w:sz w:val="24"/>
          <w:szCs w:val="24"/>
        </w:rPr>
        <w:t xml:space="preserve"> would reduce </w:t>
      </w:r>
      <w:r w:rsidR="000705AD">
        <w:rPr>
          <w:rFonts w:asciiTheme="majorBidi" w:eastAsia="Times New Roman" w:hAnsiTheme="majorBidi" w:cstheme="majorBidi"/>
          <w:sz w:val="24"/>
          <w:szCs w:val="24"/>
        </w:rPr>
        <w:t xml:space="preserve">the </w:t>
      </w:r>
      <w:r w:rsidRPr="0010555F">
        <w:rPr>
          <w:rFonts w:asciiTheme="majorBidi" w:eastAsia="Times New Roman" w:hAnsiTheme="majorBidi" w:cstheme="majorBidi"/>
          <w:sz w:val="24"/>
          <w:szCs w:val="24"/>
        </w:rPr>
        <w:t>cases of non-response associated with wrong numbers</w:t>
      </w:r>
      <w:r w:rsidR="000705AD">
        <w:rPr>
          <w:rFonts w:asciiTheme="majorBidi" w:eastAsia="Times New Roman" w:hAnsiTheme="majorBidi" w:cstheme="majorBidi"/>
          <w:sz w:val="24"/>
          <w:szCs w:val="24"/>
        </w:rPr>
        <w:t>.</w:t>
      </w:r>
    </w:p>
    <w:p w14:paraId="027E7EFF" w14:textId="48900BC2" w:rsidR="00DC3108" w:rsidRDefault="00B70116" w:rsidP="00D35FB5">
      <w:pPr>
        <w:pStyle w:val="ListParagraph"/>
        <w:numPr>
          <w:ilvl w:val="0"/>
          <w:numId w:val="18"/>
        </w:numPr>
        <w:spacing w:after="0" w:line="240" w:lineRule="auto"/>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Regarding LFS of 2020</w:t>
      </w:r>
      <w:r w:rsidR="00B429CC">
        <w:rPr>
          <w:rFonts w:asciiTheme="majorBidi" w:eastAsia="Times New Roman" w:hAnsiTheme="majorBidi" w:cstheme="majorBidi"/>
          <w:sz w:val="24"/>
          <w:szCs w:val="24"/>
        </w:rPr>
        <w:t xml:space="preserve">, </w:t>
      </w:r>
      <w:r w:rsidR="00B429CC" w:rsidRPr="00DC3108">
        <w:rPr>
          <w:rFonts w:asciiTheme="majorBidi" w:eastAsia="Times New Roman" w:hAnsiTheme="majorBidi" w:cstheme="majorBidi"/>
          <w:sz w:val="24"/>
          <w:szCs w:val="24"/>
        </w:rPr>
        <w:t>it is</w:t>
      </w:r>
      <w:r w:rsidR="00B429CC">
        <w:rPr>
          <w:rFonts w:asciiTheme="majorBidi" w:eastAsia="Times New Roman" w:hAnsiTheme="majorBidi" w:cstheme="majorBidi"/>
          <w:sz w:val="24"/>
          <w:szCs w:val="24"/>
        </w:rPr>
        <w:t xml:space="preserve"> </w:t>
      </w:r>
      <w:r w:rsidR="00D35FB5">
        <w:rPr>
          <w:rFonts w:asciiTheme="majorBidi" w:eastAsia="Times New Roman" w:hAnsiTheme="majorBidi" w:cstheme="majorBidi"/>
          <w:sz w:val="24"/>
          <w:szCs w:val="24"/>
        </w:rPr>
        <w:t>essential</w:t>
      </w:r>
      <w:r w:rsidR="00B429CC">
        <w:rPr>
          <w:rFonts w:asciiTheme="majorBidi" w:eastAsia="Times New Roman" w:hAnsiTheme="majorBidi" w:cstheme="majorBidi"/>
          <w:sz w:val="24"/>
          <w:szCs w:val="24"/>
        </w:rPr>
        <w:t xml:space="preserve"> to follow a </w:t>
      </w:r>
      <w:r w:rsidR="00DC3108" w:rsidRPr="00DC3108">
        <w:rPr>
          <w:rFonts w:asciiTheme="majorBidi" w:eastAsia="Times New Roman" w:hAnsiTheme="majorBidi" w:cstheme="majorBidi"/>
          <w:sz w:val="24"/>
          <w:szCs w:val="24"/>
        </w:rPr>
        <w:t>method for checking data consistency for repeated samples</w:t>
      </w:r>
      <w:r w:rsidR="00B429CC">
        <w:rPr>
          <w:rFonts w:asciiTheme="majorBidi" w:eastAsia="Times New Roman" w:hAnsiTheme="majorBidi" w:cstheme="majorBidi"/>
          <w:sz w:val="24"/>
          <w:szCs w:val="24"/>
        </w:rPr>
        <w:t xml:space="preserve"> </w:t>
      </w:r>
      <w:r w:rsidR="00EA49F0">
        <w:rPr>
          <w:rFonts w:asciiTheme="majorBidi" w:eastAsia="Times New Roman" w:hAnsiTheme="majorBidi" w:cstheme="majorBidi"/>
          <w:sz w:val="24"/>
          <w:szCs w:val="24"/>
        </w:rPr>
        <w:t xml:space="preserve">of </w:t>
      </w:r>
      <w:r w:rsidR="00B429CC">
        <w:rPr>
          <w:rFonts w:asciiTheme="majorBidi" w:eastAsia="Times New Roman" w:hAnsiTheme="majorBidi" w:cstheme="majorBidi"/>
          <w:sz w:val="24"/>
          <w:szCs w:val="24"/>
        </w:rPr>
        <w:t xml:space="preserve">previous cycles. </w:t>
      </w:r>
    </w:p>
    <w:p w14:paraId="62E2D9E4" w14:textId="77777777" w:rsidR="00DC3108" w:rsidRDefault="00DC3108" w:rsidP="005A3732">
      <w:pPr>
        <w:spacing w:after="0" w:line="240" w:lineRule="auto"/>
        <w:jc w:val="both"/>
        <w:rPr>
          <w:rFonts w:asciiTheme="majorBidi" w:eastAsia="Times New Roman" w:hAnsiTheme="majorBidi" w:cstheme="majorBidi"/>
          <w:b/>
          <w:bCs/>
          <w:sz w:val="24"/>
          <w:szCs w:val="24"/>
        </w:rPr>
      </w:pPr>
    </w:p>
    <w:p w14:paraId="005A0ACA" w14:textId="0B22E4A0" w:rsidR="00DC3108" w:rsidRDefault="00DC3108" w:rsidP="005A3732">
      <w:pPr>
        <w:spacing w:after="0" w:line="240" w:lineRule="auto"/>
        <w:jc w:val="both"/>
        <w:rPr>
          <w:rFonts w:asciiTheme="majorBidi" w:eastAsia="Times New Roman" w:hAnsiTheme="majorBidi" w:cstheme="majorBidi"/>
          <w:b/>
          <w:bCs/>
          <w:sz w:val="24"/>
          <w:szCs w:val="24"/>
        </w:rPr>
      </w:pPr>
    </w:p>
    <w:p w14:paraId="54A99741" w14:textId="091C7D3F" w:rsidR="00C24BA9" w:rsidRDefault="00C24BA9" w:rsidP="005A3732">
      <w:pPr>
        <w:spacing w:after="0" w:line="240" w:lineRule="auto"/>
        <w:jc w:val="both"/>
        <w:rPr>
          <w:rFonts w:asciiTheme="majorBidi" w:eastAsia="Times New Roman" w:hAnsiTheme="majorBidi" w:cstheme="majorBidi"/>
          <w:b/>
          <w:bCs/>
          <w:sz w:val="24"/>
          <w:szCs w:val="24"/>
        </w:rPr>
      </w:pPr>
    </w:p>
    <w:p w14:paraId="24FD8B31" w14:textId="65A41478" w:rsidR="00C24BA9" w:rsidRDefault="00C24BA9" w:rsidP="005A3732">
      <w:pPr>
        <w:spacing w:after="0" w:line="240" w:lineRule="auto"/>
        <w:jc w:val="both"/>
        <w:rPr>
          <w:rFonts w:asciiTheme="majorBidi" w:eastAsia="Times New Roman" w:hAnsiTheme="majorBidi" w:cstheme="majorBidi"/>
          <w:b/>
          <w:bCs/>
          <w:sz w:val="24"/>
          <w:szCs w:val="24"/>
        </w:rPr>
      </w:pPr>
    </w:p>
    <w:p w14:paraId="62B23D19" w14:textId="16CC213C" w:rsidR="00504B3A" w:rsidRDefault="00504B3A" w:rsidP="005A3732">
      <w:pPr>
        <w:spacing w:after="0" w:line="240" w:lineRule="auto"/>
        <w:jc w:val="both"/>
        <w:rPr>
          <w:rFonts w:asciiTheme="majorBidi" w:eastAsia="Times New Roman" w:hAnsiTheme="majorBidi" w:cstheme="majorBidi"/>
          <w:b/>
          <w:bCs/>
          <w:sz w:val="24"/>
          <w:szCs w:val="24"/>
        </w:rPr>
      </w:pPr>
    </w:p>
    <w:p w14:paraId="3023B192" w14:textId="645FFF69" w:rsidR="00BB3569" w:rsidRDefault="00BB3569" w:rsidP="005A3732">
      <w:pPr>
        <w:spacing w:after="0" w:line="240" w:lineRule="auto"/>
        <w:jc w:val="both"/>
        <w:rPr>
          <w:rFonts w:asciiTheme="majorBidi" w:eastAsia="Times New Roman" w:hAnsiTheme="majorBidi" w:cstheme="majorBidi"/>
          <w:b/>
          <w:bCs/>
          <w:sz w:val="24"/>
          <w:szCs w:val="24"/>
        </w:rPr>
      </w:pPr>
    </w:p>
    <w:p w14:paraId="51D64306" w14:textId="23D61BE4" w:rsidR="00BB3569" w:rsidRDefault="00BB3569" w:rsidP="005A3732">
      <w:pPr>
        <w:spacing w:after="0" w:line="240" w:lineRule="auto"/>
        <w:jc w:val="both"/>
        <w:rPr>
          <w:rFonts w:asciiTheme="majorBidi" w:eastAsia="Times New Roman" w:hAnsiTheme="majorBidi" w:cstheme="majorBidi"/>
          <w:b/>
          <w:bCs/>
          <w:sz w:val="24"/>
          <w:szCs w:val="24"/>
        </w:rPr>
      </w:pPr>
    </w:p>
    <w:p w14:paraId="67F8C414" w14:textId="4D8733B1" w:rsidR="00BB3569" w:rsidRDefault="00BB3569" w:rsidP="005A3732">
      <w:pPr>
        <w:spacing w:after="0" w:line="240" w:lineRule="auto"/>
        <w:jc w:val="both"/>
        <w:rPr>
          <w:rFonts w:asciiTheme="majorBidi" w:eastAsia="Times New Roman" w:hAnsiTheme="majorBidi" w:cstheme="majorBidi"/>
          <w:b/>
          <w:bCs/>
          <w:sz w:val="24"/>
          <w:szCs w:val="24"/>
        </w:rPr>
      </w:pPr>
    </w:p>
    <w:p w14:paraId="56D6F3E0" w14:textId="0F56CBC5" w:rsidR="00BB3569" w:rsidRDefault="00BB3569" w:rsidP="005A3732">
      <w:pPr>
        <w:spacing w:after="0" w:line="240" w:lineRule="auto"/>
        <w:jc w:val="both"/>
        <w:rPr>
          <w:rFonts w:asciiTheme="majorBidi" w:eastAsia="Times New Roman" w:hAnsiTheme="majorBidi" w:cstheme="majorBidi"/>
          <w:b/>
          <w:bCs/>
          <w:sz w:val="24"/>
          <w:szCs w:val="24"/>
        </w:rPr>
      </w:pPr>
    </w:p>
    <w:p w14:paraId="0FD3ED8E" w14:textId="504D21C6" w:rsidR="00BB3569" w:rsidRDefault="00BB3569" w:rsidP="005A3732">
      <w:pPr>
        <w:spacing w:after="0" w:line="240" w:lineRule="auto"/>
        <w:jc w:val="both"/>
        <w:rPr>
          <w:rFonts w:asciiTheme="majorBidi" w:eastAsia="Times New Roman" w:hAnsiTheme="majorBidi" w:cstheme="majorBidi"/>
          <w:b/>
          <w:bCs/>
          <w:sz w:val="24"/>
          <w:szCs w:val="24"/>
        </w:rPr>
      </w:pPr>
    </w:p>
    <w:p w14:paraId="3A1583D2" w14:textId="666ECF6D" w:rsidR="00BB3569" w:rsidRDefault="00BB3569" w:rsidP="005A3732">
      <w:pPr>
        <w:spacing w:after="0" w:line="240" w:lineRule="auto"/>
        <w:jc w:val="both"/>
        <w:rPr>
          <w:rFonts w:asciiTheme="majorBidi" w:eastAsia="Times New Roman" w:hAnsiTheme="majorBidi" w:cstheme="majorBidi"/>
          <w:b/>
          <w:bCs/>
          <w:sz w:val="24"/>
          <w:szCs w:val="24"/>
        </w:rPr>
      </w:pPr>
    </w:p>
    <w:p w14:paraId="44187505" w14:textId="794E1449" w:rsidR="00BB3569" w:rsidRDefault="00BB3569" w:rsidP="005A3732">
      <w:pPr>
        <w:spacing w:after="0" w:line="240" w:lineRule="auto"/>
        <w:jc w:val="both"/>
        <w:rPr>
          <w:rFonts w:asciiTheme="majorBidi" w:eastAsia="Times New Roman" w:hAnsiTheme="majorBidi" w:cstheme="majorBidi"/>
          <w:b/>
          <w:bCs/>
          <w:sz w:val="24"/>
          <w:szCs w:val="24"/>
        </w:rPr>
      </w:pPr>
    </w:p>
    <w:p w14:paraId="436D1BB2" w14:textId="4BCC5A26" w:rsidR="00BB3569" w:rsidRDefault="00BB3569" w:rsidP="005A3732">
      <w:pPr>
        <w:spacing w:after="0" w:line="240" w:lineRule="auto"/>
        <w:jc w:val="both"/>
        <w:rPr>
          <w:rFonts w:asciiTheme="majorBidi" w:eastAsia="Times New Roman" w:hAnsiTheme="majorBidi" w:cstheme="majorBidi"/>
          <w:b/>
          <w:bCs/>
          <w:sz w:val="24"/>
          <w:szCs w:val="24"/>
        </w:rPr>
      </w:pPr>
    </w:p>
    <w:p w14:paraId="79AB3F84" w14:textId="39B09161" w:rsidR="00BB3569" w:rsidRDefault="00BB3569" w:rsidP="005A3732">
      <w:pPr>
        <w:spacing w:after="0" w:line="240" w:lineRule="auto"/>
        <w:jc w:val="both"/>
        <w:rPr>
          <w:rFonts w:asciiTheme="majorBidi" w:eastAsia="Times New Roman" w:hAnsiTheme="majorBidi" w:cstheme="majorBidi"/>
          <w:b/>
          <w:bCs/>
          <w:sz w:val="24"/>
          <w:szCs w:val="24"/>
        </w:rPr>
      </w:pPr>
    </w:p>
    <w:p w14:paraId="45C61BC4" w14:textId="5C240CC3" w:rsidR="00BB3569" w:rsidRDefault="00BB3569" w:rsidP="005A3732">
      <w:pPr>
        <w:spacing w:after="0" w:line="240" w:lineRule="auto"/>
        <w:jc w:val="both"/>
        <w:rPr>
          <w:rFonts w:asciiTheme="majorBidi" w:eastAsia="Times New Roman" w:hAnsiTheme="majorBidi" w:cstheme="majorBidi"/>
          <w:b/>
          <w:bCs/>
          <w:sz w:val="24"/>
          <w:szCs w:val="24"/>
        </w:rPr>
      </w:pPr>
    </w:p>
    <w:p w14:paraId="6E0A7785" w14:textId="22980BA0" w:rsidR="00BB3569" w:rsidRDefault="00BB3569" w:rsidP="005A3732">
      <w:pPr>
        <w:spacing w:after="0" w:line="240" w:lineRule="auto"/>
        <w:jc w:val="both"/>
        <w:rPr>
          <w:rFonts w:asciiTheme="majorBidi" w:eastAsia="Times New Roman" w:hAnsiTheme="majorBidi" w:cstheme="majorBidi"/>
          <w:b/>
          <w:bCs/>
          <w:sz w:val="24"/>
          <w:szCs w:val="24"/>
        </w:rPr>
      </w:pPr>
    </w:p>
    <w:p w14:paraId="3E02B897" w14:textId="09704CEE" w:rsidR="00BB3569" w:rsidRDefault="00BB3569" w:rsidP="005A3732">
      <w:pPr>
        <w:spacing w:after="0" w:line="240" w:lineRule="auto"/>
        <w:jc w:val="both"/>
        <w:rPr>
          <w:rFonts w:asciiTheme="majorBidi" w:eastAsia="Times New Roman" w:hAnsiTheme="majorBidi" w:cstheme="majorBidi"/>
          <w:b/>
          <w:bCs/>
          <w:sz w:val="24"/>
          <w:szCs w:val="24"/>
        </w:rPr>
      </w:pPr>
    </w:p>
    <w:p w14:paraId="3443F24C" w14:textId="2DB30B0D" w:rsidR="00BB3569" w:rsidRDefault="00BB3569" w:rsidP="005A3732">
      <w:pPr>
        <w:spacing w:after="0" w:line="240" w:lineRule="auto"/>
        <w:jc w:val="both"/>
        <w:rPr>
          <w:rFonts w:asciiTheme="majorBidi" w:eastAsia="Times New Roman" w:hAnsiTheme="majorBidi" w:cstheme="majorBidi"/>
          <w:b/>
          <w:bCs/>
          <w:sz w:val="24"/>
          <w:szCs w:val="24"/>
        </w:rPr>
      </w:pPr>
    </w:p>
    <w:p w14:paraId="48BBC977" w14:textId="672CA89A" w:rsidR="00BB3569" w:rsidRDefault="00BB3569" w:rsidP="005A3732">
      <w:pPr>
        <w:spacing w:after="0" w:line="240" w:lineRule="auto"/>
        <w:jc w:val="both"/>
        <w:rPr>
          <w:rFonts w:asciiTheme="majorBidi" w:eastAsia="Times New Roman" w:hAnsiTheme="majorBidi" w:cstheme="majorBidi"/>
          <w:b/>
          <w:bCs/>
          <w:sz w:val="24"/>
          <w:szCs w:val="24"/>
        </w:rPr>
      </w:pPr>
    </w:p>
    <w:p w14:paraId="374D1C00" w14:textId="2437EFBD" w:rsidR="00BB3569" w:rsidRDefault="00BB3569" w:rsidP="005A3732">
      <w:pPr>
        <w:spacing w:after="0" w:line="240" w:lineRule="auto"/>
        <w:jc w:val="both"/>
        <w:rPr>
          <w:rFonts w:asciiTheme="majorBidi" w:eastAsia="Times New Roman" w:hAnsiTheme="majorBidi" w:cstheme="majorBidi"/>
          <w:b/>
          <w:bCs/>
          <w:sz w:val="24"/>
          <w:szCs w:val="24"/>
        </w:rPr>
      </w:pPr>
    </w:p>
    <w:p w14:paraId="10F4E0EE" w14:textId="1D65D7F0" w:rsidR="00BB3569" w:rsidRDefault="00BB3569" w:rsidP="005A3732">
      <w:pPr>
        <w:spacing w:after="0" w:line="240" w:lineRule="auto"/>
        <w:jc w:val="both"/>
        <w:rPr>
          <w:rFonts w:asciiTheme="majorBidi" w:eastAsia="Times New Roman" w:hAnsiTheme="majorBidi" w:cstheme="majorBidi"/>
          <w:b/>
          <w:bCs/>
          <w:sz w:val="24"/>
          <w:szCs w:val="24"/>
        </w:rPr>
      </w:pPr>
    </w:p>
    <w:p w14:paraId="6719E4FB" w14:textId="6772665F" w:rsidR="00BB3569" w:rsidRDefault="00BB3569" w:rsidP="005A3732">
      <w:pPr>
        <w:spacing w:after="0" w:line="240" w:lineRule="auto"/>
        <w:jc w:val="both"/>
        <w:rPr>
          <w:rFonts w:asciiTheme="majorBidi" w:eastAsia="Times New Roman" w:hAnsiTheme="majorBidi" w:cstheme="majorBidi"/>
          <w:b/>
          <w:bCs/>
          <w:sz w:val="24"/>
          <w:szCs w:val="24"/>
        </w:rPr>
      </w:pPr>
    </w:p>
    <w:p w14:paraId="2ACE27A6" w14:textId="41D3DCAD" w:rsidR="00BB3569" w:rsidRDefault="00BB3569" w:rsidP="005A3732">
      <w:pPr>
        <w:spacing w:after="0" w:line="240" w:lineRule="auto"/>
        <w:jc w:val="both"/>
        <w:rPr>
          <w:rFonts w:asciiTheme="majorBidi" w:eastAsia="Times New Roman" w:hAnsiTheme="majorBidi" w:cstheme="majorBidi"/>
          <w:b/>
          <w:bCs/>
          <w:sz w:val="24"/>
          <w:szCs w:val="24"/>
        </w:rPr>
      </w:pPr>
    </w:p>
    <w:p w14:paraId="20148F14" w14:textId="3BA015C2" w:rsidR="002C096C" w:rsidRDefault="002C096C" w:rsidP="005A3732">
      <w:pPr>
        <w:spacing w:after="0" w:line="240" w:lineRule="auto"/>
        <w:jc w:val="both"/>
        <w:rPr>
          <w:rFonts w:asciiTheme="majorBidi" w:eastAsia="Times New Roman" w:hAnsiTheme="majorBidi" w:cstheme="majorBidi"/>
          <w:b/>
          <w:bCs/>
          <w:sz w:val="24"/>
          <w:szCs w:val="24"/>
        </w:rPr>
      </w:pPr>
      <w:r w:rsidRPr="00E85BBA">
        <w:rPr>
          <w:rFonts w:asciiTheme="majorBidi" w:eastAsia="Times New Roman" w:hAnsiTheme="majorBidi" w:cstheme="majorBidi"/>
          <w:b/>
          <w:bCs/>
          <w:sz w:val="24"/>
          <w:szCs w:val="24"/>
        </w:rPr>
        <w:lastRenderedPageBreak/>
        <w:t>References</w:t>
      </w:r>
    </w:p>
    <w:p w14:paraId="076F9509" w14:textId="77777777" w:rsidR="006B0603" w:rsidRPr="00E85BBA" w:rsidRDefault="006B0603" w:rsidP="005A3732">
      <w:pPr>
        <w:spacing w:after="0" w:line="240" w:lineRule="auto"/>
        <w:jc w:val="both"/>
        <w:rPr>
          <w:rFonts w:asciiTheme="majorBidi" w:eastAsia="Times New Roman" w:hAnsiTheme="majorBidi" w:cstheme="majorBidi"/>
          <w:b/>
          <w:bCs/>
          <w:sz w:val="24"/>
          <w:szCs w:val="24"/>
        </w:rPr>
      </w:pPr>
    </w:p>
    <w:p w14:paraId="2A4B1C6F" w14:textId="77777777" w:rsidR="006B0603" w:rsidRPr="000A58B9" w:rsidRDefault="006B0603" w:rsidP="00714FEB">
      <w:pPr>
        <w:pStyle w:val="ListParagraph"/>
        <w:numPr>
          <w:ilvl w:val="0"/>
          <w:numId w:val="30"/>
        </w:numPr>
        <w:spacing w:after="240" w:line="240" w:lineRule="auto"/>
        <w:ind w:left="714" w:hanging="357"/>
        <w:contextualSpacing w:val="0"/>
        <w:jc w:val="mediumKashida"/>
        <w:rPr>
          <w:rFonts w:ascii="Times New Roman" w:eastAsia="Times New Roman" w:hAnsi="Times New Roman" w:cs="Times New Roman"/>
          <w:sz w:val="24"/>
          <w:szCs w:val="24"/>
        </w:rPr>
      </w:pPr>
      <w:r w:rsidRPr="000A58B9">
        <w:rPr>
          <w:rFonts w:ascii="Times New Roman" w:eastAsia="Times New Roman" w:hAnsi="Times New Roman" w:cs="Times New Roman"/>
          <w:sz w:val="24"/>
          <w:szCs w:val="24"/>
        </w:rPr>
        <w:t>Robert M. Groves,</w:t>
      </w:r>
      <w:r w:rsidRPr="000A58B9">
        <w:rPr>
          <w:rFonts w:ascii="Times New Roman" w:eastAsia="Times New Roman" w:hAnsi="Times New Roman" w:cs="Times New Roman"/>
          <w:sz w:val="24"/>
          <w:szCs w:val="24"/>
          <w:rtl/>
        </w:rPr>
        <w:t> </w:t>
      </w:r>
      <w:r w:rsidRPr="000A58B9">
        <w:rPr>
          <w:rFonts w:ascii="Times New Roman" w:eastAsia="Times New Roman" w:hAnsi="Times New Roman" w:cs="Times New Roman"/>
          <w:sz w:val="24"/>
          <w:szCs w:val="24"/>
        </w:rPr>
        <w:t>Floyd J. Fowler, Jr.</w:t>
      </w:r>
      <w:r w:rsidRPr="000A58B9">
        <w:rPr>
          <w:rFonts w:ascii="Times New Roman" w:eastAsia="Times New Roman" w:hAnsi="Times New Roman" w:cs="Times New Roman"/>
          <w:sz w:val="24"/>
          <w:szCs w:val="24"/>
          <w:rtl/>
        </w:rPr>
        <w:t>‏، </w:t>
      </w:r>
      <w:r w:rsidRPr="000A58B9">
        <w:rPr>
          <w:rFonts w:ascii="Times New Roman" w:eastAsia="Times New Roman" w:hAnsi="Times New Roman" w:cs="Times New Roman"/>
          <w:sz w:val="24"/>
          <w:szCs w:val="24"/>
        </w:rPr>
        <w:t>Mick P. Couper</w:t>
      </w:r>
      <w:r w:rsidRPr="000A58B9">
        <w:rPr>
          <w:rFonts w:ascii="Times New Roman" w:eastAsia="Times New Roman" w:hAnsi="Times New Roman" w:cs="Times New Roman"/>
          <w:sz w:val="24"/>
          <w:szCs w:val="24"/>
          <w:rtl/>
        </w:rPr>
        <w:t>‏، </w:t>
      </w:r>
      <w:r w:rsidRPr="000A58B9">
        <w:rPr>
          <w:rFonts w:ascii="Times New Roman" w:eastAsia="Times New Roman" w:hAnsi="Times New Roman" w:cs="Times New Roman"/>
          <w:sz w:val="24"/>
          <w:szCs w:val="24"/>
        </w:rPr>
        <w:t xml:space="preserve">James M. </w:t>
      </w:r>
      <w:proofErr w:type="spellStart"/>
      <w:r w:rsidRPr="000A58B9">
        <w:rPr>
          <w:rFonts w:ascii="Times New Roman" w:eastAsia="Times New Roman" w:hAnsi="Times New Roman" w:cs="Times New Roman"/>
          <w:sz w:val="24"/>
          <w:szCs w:val="24"/>
        </w:rPr>
        <w:t>Lepkowski</w:t>
      </w:r>
      <w:proofErr w:type="spellEnd"/>
      <w:r w:rsidRPr="000A58B9">
        <w:rPr>
          <w:rFonts w:ascii="Times New Roman" w:eastAsia="Times New Roman" w:hAnsi="Times New Roman" w:cs="Times New Roman"/>
          <w:sz w:val="24"/>
          <w:szCs w:val="24"/>
          <w:rtl/>
        </w:rPr>
        <w:t>‏، </w:t>
      </w:r>
      <w:r w:rsidRPr="000A58B9">
        <w:rPr>
          <w:rFonts w:ascii="Times New Roman" w:eastAsia="Times New Roman" w:hAnsi="Times New Roman" w:cs="Times New Roman"/>
          <w:sz w:val="24"/>
          <w:szCs w:val="24"/>
        </w:rPr>
        <w:t xml:space="preserve">Eleanor Singer &amp; Roger </w:t>
      </w:r>
      <w:proofErr w:type="spellStart"/>
      <w:r w:rsidRPr="000A58B9">
        <w:rPr>
          <w:rFonts w:ascii="Times New Roman" w:eastAsia="Times New Roman" w:hAnsi="Times New Roman" w:cs="Times New Roman"/>
          <w:sz w:val="24"/>
          <w:szCs w:val="24"/>
        </w:rPr>
        <w:t>Tourangeau</w:t>
      </w:r>
      <w:proofErr w:type="spellEnd"/>
      <w:r w:rsidRPr="000A58B9">
        <w:rPr>
          <w:rFonts w:ascii="Times New Roman" w:eastAsia="Times New Roman" w:hAnsi="Times New Roman" w:cs="Times New Roman"/>
          <w:sz w:val="24"/>
          <w:szCs w:val="24"/>
          <w:rtl/>
        </w:rPr>
        <w:t>‏</w:t>
      </w:r>
      <w:r w:rsidRPr="000A58B9">
        <w:rPr>
          <w:rFonts w:ascii="Times New Roman" w:eastAsia="Times New Roman" w:hAnsi="Times New Roman" w:cs="Times New Roman"/>
          <w:sz w:val="24"/>
          <w:szCs w:val="24"/>
        </w:rPr>
        <w:t xml:space="preserve"> (2004). Survey Methodology.</w:t>
      </w:r>
    </w:p>
    <w:p w14:paraId="1E8EA9D0" w14:textId="55E8150B"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 xml:space="preserve">De </w:t>
      </w:r>
      <w:proofErr w:type="spellStart"/>
      <w:r w:rsidRPr="000A58B9">
        <w:rPr>
          <w:rFonts w:asciiTheme="majorBidi" w:hAnsiTheme="majorBidi" w:cstheme="majorBidi"/>
          <w:sz w:val="24"/>
          <w:szCs w:val="24"/>
        </w:rPr>
        <w:t>Leeuw</w:t>
      </w:r>
      <w:proofErr w:type="spellEnd"/>
      <w:r w:rsidRPr="000A58B9">
        <w:rPr>
          <w:rFonts w:asciiTheme="majorBidi" w:hAnsiTheme="majorBidi" w:cstheme="majorBidi"/>
          <w:sz w:val="24"/>
          <w:szCs w:val="24"/>
        </w:rPr>
        <w:t>, E. D.</w:t>
      </w:r>
      <w:r w:rsidR="00856745">
        <w:rPr>
          <w:rFonts w:asciiTheme="majorBidi" w:hAnsiTheme="majorBidi" w:cstheme="majorBidi"/>
          <w:sz w:val="24"/>
          <w:szCs w:val="24"/>
        </w:rPr>
        <w:t xml:space="preserve"> </w:t>
      </w:r>
      <w:r w:rsidRPr="000A58B9">
        <w:rPr>
          <w:rFonts w:asciiTheme="majorBidi" w:hAnsiTheme="majorBidi" w:cstheme="majorBidi"/>
          <w:sz w:val="24"/>
          <w:szCs w:val="24"/>
        </w:rPr>
        <w:t>(2008). The Effect of Computer-Assisted Interviewing on Data Quality: A Review of the Evidence.</w:t>
      </w:r>
    </w:p>
    <w:p w14:paraId="62156215" w14:textId="77777777"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Qin Liu (2012). A Survey Data Quality Strategy: The Institutional Research Perspective.</w:t>
      </w:r>
    </w:p>
    <w:p w14:paraId="6960B171" w14:textId="6B1B7EAC"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ICMR-National Institute of Medical Statistics (2021)</w:t>
      </w:r>
      <w:r w:rsidR="00856745">
        <w:rPr>
          <w:rFonts w:asciiTheme="majorBidi" w:hAnsiTheme="majorBidi" w:cstheme="majorBidi"/>
          <w:sz w:val="24"/>
          <w:szCs w:val="24"/>
        </w:rPr>
        <w:t>.</w:t>
      </w:r>
      <w:r w:rsidRPr="000A58B9">
        <w:rPr>
          <w:rFonts w:asciiTheme="majorBidi" w:hAnsiTheme="majorBidi" w:cstheme="majorBidi"/>
          <w:sz w:val="24"/>
          <w:szCs w:val="24"/>
        </w:rPr>
        <w:t xml:space="preserve"> National Guidelines for Data Quality in Surveys. </w:t>
      </w:r>
    </w:p>
    <w:p w14:paraId="1487011C" w14:textId="4935B9F9" w:rsidR="006B0603" w:rsidRPr="000A58B9" w:rsidRDefault="006B0603" w:rsidP="005716C3">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tl/>
        </w:rPr>
      </w:pPr>
      <w:r w:rsidRPr="000A58B9">
        <w:rPr>
          <w:rFonts w:asciiTheme="majorBidi" w:hAnsiTheme="majorBidi" w:cstheme="majorBidi"/>
          <w:sz w:val="24"/>
          <w:szCs w:val="24"/>
        </w:rPr>
        <w:t>Eurostat (2019)</w:t>
      </w:r>
      <w:r w:rsidR="005716C3">
        <w:rPr>
          <w:rFonts w:asciiTheme="majorBidi" w:hAnsiTheme="majorBidi" w:cstheme="majorBidi"/>
          <w:sz w:val="24"/>
          <w:szCs w:val="24"/>
        </w:rPr>
        <w:t>.</w:t>
      </w:r>
      <w:r w:rsidRPr="000A58B9">
        <w:rPr>
          <w:rFonts w:asciiTheme="majorBidi" w:hAnsiTheme="majorBidi" w:cstheme="majorBidi"/>
          <w:sz w:val="24"/>
          <w:szCs w:val="24"/>
        </w:rPr>
        <w:t xml:space="preserve"> Quality Report of the European Union Labor Force Survey 2017, statistical reports.</w:t>
      </w:r>
    </w:p>
    <w:p w14:paraId="7094BC60" w14:textId="3ACEFDB0" w:rsidR="00856745" w:rsidRPr="00856745" w:rsidRDefault="00856745"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856745">
        <w:rPr>
          <w:rFonts w:asciiTheme="majorBidi" w:hAnsiTheme="majorBidi" w:cstheme="majorBidi"/>
          <w:sz w:val="24"/>
          <w:szCs w:val="24"/>
        </w:rPr>
        <w:t>European Statisti</w:t>
      </w:r>
      <w:r>
        <w:rPr>
          <w:rFonts w:asciiTheme="majorBidi" w:hAnsiTheme="majorBidi" w:cstheme="majorBidi"/>
          <w:sz w:val="24"/>
          <w:szCs w:val="24"/>
        </w:rPr>
        <w:t xml:space="preserve">cal System </w:t>
      </w:r>
      <w:r w:rsidRPr="00856745">
        <w:rPr>
          <w:rFonts w:asciiTheme="majorBidi" w:hAnsiTheme="majorBidi" w:cstheme="majorBidi"/>
          <w:sz w:val="24"/>
          <w:szCs w:val="24"/>
        </w:rPr>
        <w:t>(ESS)</w:t>
      </w:r>
      <w:r>
        <w:rPr>
          <w:rFonts w:asciiTheme="majorBidi" w:hAnsiTheme="majorBidi" w:cstheme="majorBidi" w:hint="cs"/>
          <w:sz w:val="24"/>
          <w:szCs w:val="24"/>
          <w:rtl/>
        </w:rPr>
        <w:t xml:space="preserve"> </w:t>
      </w:r>
      <w:r>
        <w:rPr>
          <w:rFonts w:asciiTheme="majorBidi" w:hAnsiTheme="majorBidi" w:cstheme="majorBidi"/>
          <w:sz w:val="24"/>
          <w:szCs w:val="24"/>
        </w:rPr>
        <w:t>(2019)</w:t>
      </w:r>
      <w:r w:rsidRPr="00856745">
        <w:rPr>
          <w:rFonts w:asciiTheme="majorBidi" w:hAnsiTheme="majorBidi" w:cstheme="majorBidi"/>
          <w:sz w:val="24"/>
          <w:szCs w:val="24"/>
        </w:rPr>
        <w:t xml:space="preserve">. Quality Assurance Framework of the European Statistical System (Version 2.0). </w:t>
      </w:r>
    </w:p>
    <w:p w14:paraId="1A423BD5" w14:textId="24982831" w:rsidR="006B0603" w:rsidRDefault="00856745"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856745">
        <w:rPr>
          <w:rFonts w:asciiTheme="majorBidi" w:hAnsiTheme="majorBidi" w:cstheme="majorBidi"/>
          <w:sz w:val="24"/>
          <w:szCs w:val="24"/>
        </w:rPr>
        <w:t>European Statisti</w:t>
      </w:r>
      <w:r>
        <w:rPr>
          <w:rFonts w:asciiTheme="majorBidi" w:hAnsiTheme="majorBidi" w:cstheme="majorBidi"/>
          <w:sz w:val="24"/>
          <w:szCs w:val="24"/>
        </w:rPr>
        <w:t>cal System</w:t>
      </w:r>
      <w:r>
        <w:rPr>
          <w:rFonts w:asciiTheme="majorBidi" w:hAnsiTheme="majorBidi" w:cstheme="majorBidi"/>
          <w:sz w:val="24"/>
          <w:szCs w:val="24"/>
        </w:rPr>
        <w:t xml:space="preserve"> (2016).</w:t>
      </w:r>
      <w:r w:rsidR="006B0603" w:rsidRPr="000A58B9">
        <w:rPr>
          <w:rFonts w:asciiTheme="majorBidi" w:hAnsiTheme="majorBidi" w:cstheme="majorBidi"/>
          <w:sz w:val="24"/>
          <w:szCs w:val="24"/>
        </w:rPr>
        <w:t xml:space="preserve"> Statistics Code of Practice for the European Neighborhood South countries (based on the European Statistics Code of Practice).</w:t>
      </w:r>
    </w:p>
    <w:p w14:paraId="7C4AAFD2" w14:textId="024408FD" w:rsidR="00856745" w:rsidRPr="000A58B9" w:rsidRDefault="00856745" w:rsidP="005716C3">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856745">
        <w:rPr>
          <w:rFonts w:asciiTheme="majorBidi" w:hAnsiTheme="majorBidi" w:cstheme="majorBidi"/>
          <w:sz w:val="24"/>
          <w:szCs w:val="24"/>
        </w:rPr>
        <w:t>European Statisti</w:t>
      </w:r>
      <w:r>
        <w:rPr>
          <w:rFonts w:asciiTheme="majorBidi" w:hAnsiTheme="majorBidi" w:cstheme="majorBidi"/>
          <w:sz w:val="24"/>
          <w:szCs w:val="24"/>
        </w:rPr>
        <w:t>cal System (</w:t>
      </w:r>
      <w:r w:rsidR="005716C3">
        <w:rPr>
          <w:rFonts w:asciiTheme="majorBidi" w:hAnsiTheme="majorBidi" w:cstheme="majorBidi"/>
          <w:sz w:val="24"/>
          <w:szCs w:val="24"/>
        </w:rPr>
        <w:t>2017</w:t>
      </w:r>
      <w:r>
        <w:rPr>
          <w:rFonts w:asciiTheme="majorBidi" w:hAnsiTheme="majorBidi" w:cstheme="majorBidi"/>
          <w:sz w:val="24"/>
          <w:szCs w:val="24"/>
        </w:rPr>
        <w:t>).</w:t>
      </w:r>
      <w:r>
        <w:rPr>
          <w:rFonts w:asciiTheme="majorBidi" w:hAnsiTheme="majorBidi" w:cstheme="majorBidi"/>
          <w:sz w:val="24"/>
          <w:szCs w:val="24"/>
        </w:rPr>
        <w:t xml:space="preserve"> </w:t>
      </w:r>
      <w:r w:rsidRPr="000A58B9">
        <w:rPr>
          <w:rFonts w:asciiTheme="majorBidi" w:hAnsiTheme="majorBidi" w:cstheme="majorBidi"/>
          <w:sz w:val="24"/>
          <w:szCs w:val="24"/>
        </w:rPr>
        <w:t>European statistics Code of Practice, revised edition</w:t>
      </w:r>
      <w:r>
        <w:rPr>
          <w:rFonts w:asciiTheme="majorBidi" w:hAnsiTheme="majorBidi" w:cstheme="majorBidi"/>
          <w:sz w:val="24"/>
          <w:szCs w:val="24"/>
        </w:rPr>
        <w:t>.</w:t>
      </w:r>
      <w:bookmarkStart w:id="0" w:name="_GoBack"/>
      <w:bookmarkEnd w:id="0"/>
    </w:p>
    <w:p w14:paraId="79FE17BE" w14:textId="77777777"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Palestinian Central Bureau of Statistics (2021), Impact of COVID - 19 Pandemic on the Socio-economic Conditions of Palestinian Households Survey 2020.</w:t>
      </w:r>
    </w:p>
    <w:p w14:paraId="23E1CB29" w14:textId="6A2AEB61"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Palestinian Central Bureau of Statistics (2019)</w:t>
      </w:r>
      <w:r w:rsidR="00856745">
        <w:rPr>
          <w:rFonts w:asciiTheme="majorBidi" w:hAnsiTheme="majorBidi" w:cstheme="majorBidi"/>
          <w:sz w:val="24"/>
          <w:szCs w:val="24"/>
        </w:rPr>
        <w:t>.</w:t>
      </w:r>
      <w:r w:rsidRPr="000A58B9">
        <w:rPr>
          <w:rFonts w:asciiTheme="majorBidi" w:hAnsiTheme="majorBidi" w:cstheme="majorBidi"/>
          <w:sz w:val="24"/>
          <w:szCs w:val="24"/>
        </w:rPr>
        <w:t xml:space="preserve"> Socio-Economic Conditions Survey 2018, Main findings.</w:t>
      </w:r>
    </w:p>
    <w:p w14:paraId="283BB68B" w14:textId="67C349F5"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Palestinian Central Bureau of Statistics (2021)</w:t>
      </w:r>
      <w:r w:rsidR="00856745">
        <w:rPr>
          <w:rFonts w:asciiTheme="majorBidi" w:hAnsiTheme="majorBidi" w:cstheme="majorBidi"/>
          <w:sz w:val="24"/>
          <w:szCs w:val="24"/>
        </w:rPr>
        <w:t>.</w:t>
      </w:r>
      <w:r w:rsidRPr="000A58B9">
        <w:rPr>
          <w:rFonts w:asciiTheme="majorBidi" w:hAnsiTheme="majorBidi" w:cstheme="majorBidi"/>
          <w:sz w:val="24"/>
          <w:szCs w:val="24"/>
        </w:rPr>
        <w:t xml:space="preserve"> Palestinian </w:t>
      </w:r>
      <w:proofErr w:type="spellStart"/>
      <w:r w:rsidRPr="000A58B9">
        <w:rPr>
          <w:rFonts w:asciiTheme="majorBidi" w:hAnsiTheme="majorBidi" w:cstheme="majorBidi"/>
          <w:sz w:val="24"/>
          <w:szCs w:val="24"/>
        </w:rPr>
        <w:t>Labour</w:t>
      </w:r>
      <w:proofErr w:type="spellEnd"/>
      <w:r w:rsidRPr="000A58B9">
        <w:rPr>
          <w:rFonts w:asciiTheme="majorBidi" w:hAnsiTheme="majorBidi" w:cstheme="majorBidi"/>
          <w:sz w:val="24"/>
          <w:szCs w:val="24"/>
        </w:rPr>
        <w:t xml:space="preserve"> Force Survey 2020, Annual Report.</w:t>
      </w:r>
    </w:p>
    <w:p w14:paraId="15D6B363" w14:textId="773489B1" w:rsidR="006B0603" w:rsidRPr="000A58B9" w:rsidRDefault="006B0603" w:rsidP="00714FEB">
      <w:pPr>
        <w:pStyle w:val="ListParagraph"/>
        <w:numPr>
          <w:ilvl w:val="0"/>
          <w:numId w:val="30"/>
        </w:numPr>
        <w:spacing w:after="240" w:line="240" w:lineRule="auto"/>
        <w:ind w:left="714" w:hanging="357"/>
        <w:contextualSpacing w:val="0"/>
        <w:jc w:val="mediumKashida"/>
        <w:rPr>
          <w:rFonts w:asciiTheme="majorBidi" w:hAnsiTheme="majorBidi" w:cstheme="majorBidi"/>
          <w:sz w:val="24"/>
          <w:szCs w:val="24"/>
        </w:rPr>
      </w:pPr>
      <w:r w:rsidRPr="000A58B9">
        <w:rPr>
          <w:rFonts w:asciiTheme="majorBidi" w:hAnsiTheme="majorBidi" w:cstheme="majorBidi"/>
          <w:sz w:val="24"/>
          <w:szCs w:val="24"/>
        </w:rPr>
        <w:t>Palestinian Central Bureau of Statistics (2020)</w:t>
      </w:r>
      <w:r w:rsidR="00856745">
        <w:rPr>
          <w:rFonts w:asciiTheme="majorBidi" w:hAnsiTheme="majorBidi" w:cstheme="majorBidi"/>
          <w:sz w:val="24"/>
          <w:szCs w:val="24"/>
        </w:rPr>
        <w:t>.</w:t>
      </w:r>
      <w:r w:rsidRPr="000A58B9">
        <w:rPr>
          <w:rFonts w:asciiTheme="majorBidi" w:hAnsiTheme="majorBidi" w:cstheme="majorBidi"/>
          <w:sz w:val="24"/>
          <w:szCs w:val="24"/>
        </w:rPr>
        <w:t xml:space="preserve"> Palestinian </w:t>
      </w:r>
      <w:proofErr w:type="spellStart"/>
      <w:r w:rsidRPr="000A58B9">
        <w:rPr>
          <w:rFonts w:asciiTheme="majorBidi" w:hAnsiTheme="majorBidi" w:cstheme="majorBidi"/>
          <w:sz w:val="24"/>
          <w:szCs w:val="24"/>
        </w:rPr>
        <w:t>Labour</w:t>
      </w:r>
      <w:proofErr w:type="spellEnd"/>
      <w:r w:rsidRPr="000A58B9">
        <w:rPr>
          <w:rFonts w:asciiTheme="majorBidi" w:hAnsiTheme="majorBidi" w:cstheme="majorBidi"/>
          <w:sz w:val="24"/>
          <w:szCs w:val="24"/>
        </w:rPr>
        <w:t xml:space="preserve"> Force Survey 2019, Annual Report. </w:t>
      </w:r>
    </w:p>
    <w:p w14:paraId="28E76E99" w14:textId="77777777" w:rsidR="00337AB2" w:rsidRDefault="00337AB2" w:rsidP="006B0603">
      <w:pPr>
        <w:spacing w:after="0" w:line="240" w:lineRule="auto"/>
        <w:ind w:left="540" w:hanging="540"/>
        <w:jc w:val="mediumKashida"/>
        <w:rPr>
          <w:rFonts w:asciiTheme="majorBidi" w:hAnsiTheme="majorBidi" w:cstheme="majorBidi"/>
          <w:sz w:val="24"/>
          <w:szCs w:val="24"/>
        </w:rPr>
      </w:pPr>
    </w:p>
    <w:p w14:paraId="05901551" w14:textId="24213DC3" w:rsidR="00036793" w:rsidRDefault="00036793" w:rsidP="000A58B9">
      <w:pPr>
        <w:pStyle w:val="NormalWeb"/>
        <w:spacing w:before="0" w:beforeAutospacing="0" w:after="0" w:afterAutospacing="0"/>
        <w:jc w:val="both"/>
        <w:rPr>
          <w:rFonts w:asciiTheme="majorBidi" w:hAnsiTheme="majorBidi" w:cstheme="majorBidi"/>
        </w:rPr>
      </w:pPr>
    </w:p>
    <w:sectPr w:rsidR="00036793" w:rsidSect="00E85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4A74" w14:textId="77777777" w:rsidR="00976B18" w:rsidRDefault="00976B18" w:rsidP="001A0C33">
      <w:pPr>
        <w:spacing w:after="0" w:line="240" w:lineRule="auto"/>
      </w:pPr>
      <w:r>
        <w:separator/>
      </w:r>
    </w:p>
  </w:endnote>
  <w:endnote w:type="continuationSeparator" w:id="0">
    <w:p w14:paraId="5392CF83" w14:textId="77777777" w:rsidR="00976B18" w:rsidRDefault="00976B18" w:rsidP="001A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B67D" w14:textId="77777777" w:rsidR="00976B18" w:rsidRDefault="00976B18" w:rsidP="001A0C33">
      <w:pPr>
        <w:spacing w:after="0" w:line="240" w:lineRule="auto"/>
      </w:pPr>
      <w:r>
        <w:separator/>
      </w:r>
    </w:p>
  </w:footnote>
  <w:footnote w:type="continuationSeparator" w:id="0">
    <w:p w14:paraId="4173669C" w14:textId="77777777" w:rsidR="00976B18" w:rsidRDefault="00976B18" w:rsidP="001A0C33">
      <w:pPr>
        <w:spacing w:after="0" w:line="240" w:lineRule="auto"/>
      </w:pPr>
      <w:r>
        <w:continuationSeparator/>
      </w:r>
    </w:p>
  </w:footnote>
  <w:footnote w:id="1">
    <w:p w14:paraId="35376CCC" w14:textId="70454DFB" w:rsidR="00AE134D" w:rsidRPr="00AE134D" w:rsidRDefault="00AE134D" w:rsidP="00AE134D">
      <w:pPr>
        <w:pStyle w:val="FootnoteText"/>
        <w:rPr>
          <w:sz w:val="18"/>
          <w:szCs w:val="18"/>
        </w:rPr>
      </w:pPr>
      <w:r w:rsidRPr="00AE134D">
        <w:rPr>
          <w:rStyle w:val="FootnoteReference"/>
          <w:sz w:val="18"/>
          <w:szCs w:val="18"/>
        </w:rPr>
        <w:footnoteRef/>
      </w:r>
      <w:r w:rsidRPr="00AE134D">
        <w:rPr>
          <w:sz w:val="18"/>
          <w:szCs w:val="18"/>
        </w:rPr>
        <w:t xml:space="preserve"> </w:t>
      </w:r>
      <w:r w:rsidRPr="00AE134D">
        <w:rPr>
          <w:rFonts w:asciiTheme="majorBidi" w:hAnsiTheme="majorBidi" w:cstheme="majorBidi"/>
          <w:sz w:val="18"/>
          <w:szCs w:val="18"/>
        </w:rPr>
        <w:t>Impact of COVID - 19 Pandemic (Coronavirus) on the Socio-economic Conditions of Palestinian Households Survey (March-May), 2020:</w:t>
      </w:r>
      <w:r w:rsidRPr="00AE134D">
        <w:rPr>
          <w:sz w:val="18"/>
          <w:szCs w:val="18"/>
        </w:rPr>
        <w:t xml:space="preserve"> </w:t>
      </w:r>
      <w:hyperlink r:id="rId1" w:history="1">
        <w:r w:rsidRPr="00AE134D">
          <w:rPr>
            <w:rStyle w:val="Hyperlink"/>
            <w:sz w:val="18"/>
            <w:szCs w:val="18"/>
          </w:rPr>
          <w:t>https://www.pcbs.gov.ps/Downloads/book2554.pdf</w:t>
        </w:r>
      </w:hyperlink>
    </w:p>
  </w:footnote>
  <w:footnote w:id="2">
    <w:p w14:paraId="6EF535F3" w14:textId="4EBAC1CA" w:rsidR="00AE134D" w:rsidRPr="00AE134D" w:rsidRDefault="00AE134D" w:rsidP="00AE134D">
      <w:pPr>
        <w:pStyle w:val="FootnoteText"/>
        <w:rPr>
          <w:sz w:val="18"/>
          <w:szCs w:val="18"/>
        </w:rPr>
      </w:pPr>
      <w:r w:rsidRPr="00AE134D">
        <w:rPr>
          <w:rStyle w:val="FootnoteReference"/>
          <w:sz w:val="18"/>
          <w:szCs w:val="18"/>
        </w:rPr>
        <w:footnoteRef/>
      </w:r>
      <w:r w:rsidRPr="00AE134D">
        <w:rPr>
          <w:sz w:val="18"/>
          <w:szCs w:val="18"/>
        </w:rPr>
        <w:t xml:space="preserve"> </w:t>
      </w:r>
      <w:r w:rsidRPr="00AE134D">
        <w:rPr>
          <w:rFonts w:asciiTheme="majorBidi" w:hAnsiTheme="majorBidi" w:cstheme="majorBidi"/>
          <w:sz w:val="18"/>
          <w:szCs w:val="18"/>
        </w:rPr>
        <w:t xml:space="preserve">Palestinian </w:t>
      </w:r>
      <w:proofErr w:type="spellStart"/>
      <w:r w:rsidRPr="00AE134D">
        <w:rPr>
          <w:rFonts w:asciiTheme="majorBidi" w:hAnsiTheme="majorBidi" w:cstheme="majorBidi"/>
          <w:sz w:val="18"/>
          <w:szCs w:val="18"/>
        </w:rPr>
        <w:t>Labour</w:t>
      </w:r>
      <w:proofErr w:type="spellEnd"/>
      <w:r w:rsidRPr="00AE134D">
        <w:rPr>
          <w:rFonts w:asciiTheme="majorBidi" w:hAnsiTheme="majorBidi" w:cstheme="majorBidi"/>
          <w:sz w:val="18"/>
          <w:szCs w:val="18"/>
        </w:rPr>
        <w:t xml:space="preserve"> Force Survey - Annual Report: 2020:</w:t>
      </w:r>
      <w:r w:rsidRPr="00AE134D">
        <w:rPr>
          <w:sz w:val="18"/>
          <w:szCs w:val="18"/>
        </w:rPr>
        <w:t xml:space="preserve"> </w:t>
      </w:r>
      <w:hyperlink r:id="rId2" w:history="1">
        <w:r w:rsidRPr="00AE134D">
          <w:rPr>
            <w:rStyle w:val="Hyperlink"/>
            <w:sz w:val="18"/>
            <w:szCs w:val="18"/>
          </w:rPr>
          <w:t>https://www.pcbs.gov.ps/Downloads/book2562.pdf</w:t>
        </w:r>
      </w:hyperlink>
    </w:p>
  </w:footnote>
  <w:footnote w:id="3">
    <w:p w14:paraId="1CBC5F64" w14:textId="6187764D" w:rsidR="003B1179" w:rsidRPr="00AE134D" w:rsidRDefault="003B1179" w:rsidP="00A206A4">
      <w:pPr>
        <w:pStyle w:val="FootnoteText"/>
        <w:rPr>
          <w:rFonts w:asciiTheme="majorBidi" w:hAnsiTheme="majorBidi" w:cstheme="majorBidi"/>
          <w:sz w:val="18"/>
          <w:szCs w:val="18"/>
        </w:rPr>
      </w:pPr>
      <w:r w:rsidRPr="00AE134D">
        <w:rPr>
          <w:rStyle w:val="FootnoteReference"/>
          <w:rFonts w:asciiTheme="majorBidi" w:hAnsiTheme="majorBidi" w:cstheme="majorBidi"/>
          <w:sz w:val="18"/>
          <w:szCs w:val="18"/>
        </w:rPr>
        <w:footnoteRef/>
      </w:r>
      <w:r w:rsidRPr="00AE134D">
        <w:rPr>
          <w:rFonts w:asciiTheme="majorBidi" w:hAnsiTheme="majorBidi" w:cstheme="majorBidi"/>
          <w:sz w:val="18"/>
          <w:szCs w:val="18"/>
        </w:rPr>
        <w:t xml:space="preserve"> Quality report of the European Union </w:t>
      </w:r>
      <w:proofErr w:type="spellStart"/>
      <w:r w:rsidRPr="00AE134D">
        <w:rPr>
          <w:rFonts w:asciiTheme="majorBidi" w:hAnsiTheme="majorBidi" w:cstheme="majorBidi"/>
          <w:sz w:val="18"/>
          <w:szCs w:val="18"/>
        </w:rPr>
        <w:t>Labour</w:t>
      </w:r>
      <w:proofErr w:type="spellEnd"/>
      <w:r w:rsidRPr="00AE134D">
        <w:rPr>
          <w:rFonts w:asciiTheme="majorBidi" w:hAnsiTheme="majorBidi" w:cstheme="majorBidi"/>
          <w:sz w:val="18"/>
          <w:szCs w:val="18"/>
        </w:rPr>
        <w:t xml:space="preserve"> Force Survey 2017, 201</w:t>
      </w:r>
      <w:r w:rsidR="00A206A4" w:rsidRPr="00AE134D">
        <w:rPr>
          <w:rFonts w:asciiTheme="majorBidi" w:hAnsiTheme="majorBidi" w:cstheme="majorBidi"/>
          <w:sz w:val="18"/>
          <w:szCs w:val="18"/>
        </w:rPr>
        <w:t>9 edition - statistical reports, Eurostat.</w:t>
      </w:r>
      <w:r w:rsidRPr="00AE134D">
        <w:rPr>
          <w:rFonts w:asciiTheme="majorBidi" w:hAnsiTheme="majorBidi" w:cstheme="majorBidi"/>
          <w:sz w:val="18"/>
          <w:szCs w:val="18"/>
        </w:rPr>
        <w:t xml:space="preserve"> </w:t>
      </w:r>
    </w:p>
  </w:footnote>
  <w:footnote w:id="4">
    <w:p w14:paraId="5272AEF7" w14:textId="48D4D99E" w:rsidR="00A60E18" w:rsidRPr="00A60E18" w:rsidRDefault="00A60E18" w:rsidP="00A60E18">
      <w:pPr>
        <w:pStyle w:val="FootnoteText"/>
        <w:ind w:right="-138"/>
        <w:rPr>
          <w:rFonts w:asciiTheme="majorBidi" w:hAnsiTheme="majorBidi" w:cstheme="majorBidi"/>
        </w:rPr>
      </w:pPr>
      <w:r w:rsidRPr="00AE134D">
        <w:rPr>
          <w:rStyle w:val="FootnoteReference"/>
          <w:rFonts w:asciiTheme="majorBidi" w:hAnsiTheme="majorBidi" w:cstheme="majorBidi"/>
          <w:sz w:val="18"/>
          <w:szCs w:val="18"/>
        </w:rPr>
        <w:footnoteRef/>
      </w:r>
      <w:r w:rsidRPr="00AE134D">
        <w:rPr>
          <w:rFonts w:asciiTheme="majorBidi" w:hAnsiTheme="majorBidi" w:cstheme="majorBidi"/>
          <w:sz w:val="18"/>
          <w:szCs w:val="18"/>
        </w:rPr>
        <w:t xml:space="preserve"> ESS Quality Assurance Framework: </w:t>
      </w:r>
      <w:hyperlink r:id="rId3" w:history="1">
        <w:r w:rsidRPr="00AE134D">
          <w:rPr>
            <w:rStyle w:val="Hyperlink"/>
            <w:rFonts w:asciiTheme="majorBidi" w:hAnsiTheme="majorBidi" w:cstheme="majorBidi"/>
            <w:sz w:val="18"/>
            <w:szCs w:val="18"/>
          </w:rPr>
          <w:t>https://ec.europa.eu/eurostat/documents/64157/4392716/ESS-QAF-V1-2final.pdf/bbf5970c-1adf-46c8-afc3-58ce177a0646</w:t>
        </w:r>
      </w:hyperlink>
    </w:p>
  </w:footnote>
  <w:footnote w:id="5">
    <w:p w14:paraId="7D7B98C7" w14:textId="77777777" w:rsidR="00EC103F" w:rsidRPr="0023034C" w:rsidRDefault="00EC103F" w:rsidP="00EC103F">
      <w:pPr>
        <w:pStyle w:val="FootnoteText"/>
        <w:rPr>
          <w:rFonts w:asciiTheme="majorBidi" w:hAnsiTheme="majorBidi" w:cstheme="majorBidi"/>
        </w:rPr>
      </w:pPr>
      <w:r w:rsidRPr="0023034C">
        <w:rPr>
          <w:rStyle w:val="FootnoteReference"/>
          <w:rFonts w:asciiTheme="majorBidi" w:hAnsiTheme="majorBidi" w:cstheme="majorBidi"/>
          <w:sz w:val="18"/>
          <w:szCs w:val="18"/>
        </w:rPr>
        <w:footnoteRef/>
      </w:r>
      <w:r w:rsidRPr="0023034C">
        <w:rPr>
          <w:rFonts w:asciiTheme="majorBidi" w:hAnsiTheme="majorBidi" w:cstheme="majorBidi"/>
          <w:sz w:val="18"/>
          <w:szCs w:val="18"/>
        </w:rPr>
        <w:t xml:space="preserve"> European Statistics Code of Practice: </w:t>
      </w:r>
      <w:hyperlink r:id="rId4" w:history="1">
        <w:r w:rsidRPr="0023034C">
          <w:rPr>
            <w:rStyle w:val="Hyperlink"/>
            <w:rFonts w:asciiTheme="majorBidi" w:hAnsiTheme="majorBidi" w:cstheme="majorBidi"/>
            <w:sz w:val="18"/>
            <w:szCs w:val="18"/>
          </w:rPr>
          <w:t>https://ec.europa.eu/eurostat/web/products-catalogues/-/KS-02-18-142</w:t>
        </w:r>
      </w:hyperlink>
    </w:p>
  </w:footnote>
  <w:footnote w:id="6">
    <w:p w14:paraId="0DD84416" w14:textId="77777777" w:rsidR="00072776" w:rsidRPr="00EC103F" w:rsidRDefault="00072776" w:rsidP="00072776">
      <w:pPr>
        <w:pStyle w:val="FootnoteText"/>
        <w:rPr>
          <w:rFonts w:asciiTheme="majorBidi" w:hAnsiTheme="majorBidi" w:cstheme="majorBidi"/>
          <w:sz w:val="18"/>
          <w:szCs w:val="18"/>
        </w:rPr>
      </w:pPr>
      <w:r w:rsidRPr="00EC103F">
        <w:rPr>
          <w:rStyle w:val="FootnoteReference"/>
          <w:rFonts w:asciiTheme="majorBidi" w:hAnsiTheme="majorBidi" w:cstheme="majorBidi"/>
          <w:sz w:val="18"/>
          <w:szCs w:val="18"/>
        </w:rPr>
        <w:footnoteRef/>
      </w:r>
      <w:r w:rsidRPr="00EC103F">
        <w:rPr>
          <w:rFonts w:asciiTheme="majorBidi" w:hAnsiTheme="majorBidi" w:cstheme="majorBidi"/>
          <w:sz w:val="18"/>
          <w:szCs w:val="18"/>
        </w:rPr>
        <w:t xml:space="preserve"> National Guidelines for Data Quality in Surveys: </w:t>
      </w:r>
      <w:hyperlink r:id="rId5" w:history="1">
        <w:r w:rsidRPr="00EC103F">
          <w:rPr>
            <w:rStyle w:val="Hyperlink"/>
            <w:rFonts w:asciiTheme="majorBidi" w:hAnsiTheme="majorBidi" w:cstheme="majorBidi"/>
            <w:sz w:val="18"/>
            <w:szCs w:val="18"/>
          </w:rPr>
          <w:t>https://ndqf.in/wp-content/uploads/2021/07/National-Guidelines-for-DATA-QUALITY-in-Surveys.pdf</w:t>
        </w:r>
      </w:hyperlink>
    </w:p>
  </w:footnote>
  <w:footnote w:id="7">
    <w:p w14:paraId="481AFFEB" w14:textId="53857879" w:rsidR="006F38F5" w:rsidRDefault="006F38F5">
      <w:pPr>
        <w:pStyle w:val="FootnoteText"/>
      </w:pPr>
      <w:r>
        <w:rPr>
          <w:rStyle w:val="FootnoteReference"/>
        </w:rPr>
        <w:footnoteRef/>
      </w:r>
      <w:r>
        <w:t xml:space="preserve"> </w:t>
      </w:r>
      <w:r w:rsidR="00D26F69" w:rsidRPr="00D26F69">
        <w:rPr>
          <w:rFonts w:asciiTheme="majorBidi" w:hAnsiTheme="majorBidi" w:cstheme="majorBidi"/>
          <w:sz w:val="18"/>
          <w:szCs w:val="18"/>
        </w:rPr>
        <w:t>Survey Data Interpretation Guide</w:t>
      </w:r>
      <w:r w:rsidR="00D26F69" w:rsidRPr="00D26F69">
        <w:rPr>
          <w:rStyle w:val="Hyperlink"/>
          <w:rFonts w:asciiTheme="majorBidi" w:hAnsiTheme="majorBidi" w:cstheme="majorBidi"/>
          <w:color w:val="auto"/>
          <w:sz w:val="18"/>
          <w:szCs w:val="18"/>
          <w:u w:val="none"/>
        </w:rPr>
        <w:t>:</w:t>
      </w:r>
      <w:r w:rsidR="00D26F69" w:rsidRPr="00D26F69">
        <w:rPr>
          <w:rStyle w:val="Hyperlink"/>
          <w:color w:val="auto"/>
          <w:sz w:val="18"/>
          <w:szCs w:val="18"/>
          <w:u w:val="none"/>
        </w:rPr>
        <w:t xml:space="preserve"> </w:t>
      </w:r>
      <w:r w:rsidRPr="006F38F5">
        <w:rPr>
          <w:rStyle w:val="Hyperlink"/>
          <w:rFonts w:asciiTheme="majorBidi" w:hAnsiTheme="majorBidi" w:cstheme="majorBidi"/>
          <w:sz w:val="18"/>
          <w:szCs w:val="18"/>
        </w:rPr>
        <w:t>https://www.toronto.ca/wp-content/uploads/2017/12/93c0-tph-survey-data-interpretation-guide-aoda.pdf</w:t>
      </w:r>
    </w:p>
  </w:footnote>
  <w:footnote w:id="8">
    <w:p w14:paraId="4559C21E" w14:textId="30381C18" w:rsidR="00035535" w:rsidRPr="006839F4" w:rsidRDefault="00035535">
      <w:pPr>
        <w:pStyle w:val="FootnoteText"/>
        <w:rPr>
          <w:rFonts w:asciiTheme="majorBidi" w:hAnsiTheme="majorBidi" w:cstheme="majorBidi"/>
        </w:rPr>
      </w:pPr>
      <w:r w:rsidRPr="006839F4">
        <w:rPr>
          <w:rStyle w:val="FootnoteReference"/>
          <w:rFonts w:asciiTheme="majorBidi" w:hAnsiTheme="majorBidi" w:cstheme="majorBidi"/>
        </w:rPr>
        <w:footnoteRef/>
      </w:r>
      <w:r w:rsidRPr="006839F4">
        <w:rPr>
          <w:rFonts w:asciiTheme="majorBidi" w:hAnsiTheme="majorBidi" w:cstheme="majorBidi"/>
        </w:rPr>
        <w:t xml:space="preserve"> Quality report of the European Union </w:t>
      </w:r>
      <w:r w:rsidR="001B17A3" w:rsidRPr="006839F4">
        <w:rPr>
          <w:rFonts w:asciiTheme="majorBidi" w:hAnsiTheme="majorBidi" w:cstheme="majorBidi"/>
        </w:rPr>
        <w:t>Labor</w:t>
      </w:r>
      <w:r w:rsidRPr="006839F4">
        <w:rPr>
          <w:rFonts w:asciiTheme="majorBidi" w:hAnsiTheme="majorBidi" w:cstheme="majorBidi"/>
        </w:rPr>
        <w:t xml:space="preserve"> Force Survey 2017, 2019 edition, statistical reports </w:t>
      </w:r>
      <w:r w:rsidR="00C4587E">
        <w:rPr>
          <w:rFonts w:asciiTheme="majorBidi" w:hAnsiTheme="majorBidi" w:cstheme="majorBidi"/>
        </w:rPr>
        <w:t>–</w:t>
      </w:r>
      <w:r w:rsidRPr="006839F4">
        <w:rPr>
          <w:rFonts w:asciiTheme="majorBidi" w:hAnsiTheme="majorBidi" w:cstheme="majorBidi"/>
        </w:rPr>
        <w:t xml:space="preserve"> Eurostat</w:t>
      </w:r>
      <w:r w:rsidR="00C4587E">
        <w:rPr>
          <w:rFonts w:asciiTheme="majorBidi" w:hAnsiTheme="majorBidi" w:cstheme="majorBidi"/>
        </w:rPr>
        <w:t>.</w:t>
      </w:r>
    </w:p>
  </w:footnote>
  <w:footnote w:id="9">
    <w:p w14:paraId="0F1AD9B1" w14:textId="739A9005" w:rsidR="001F4ED5" w:rsidRPr="001F4ED5" w:rsidRDefault="001F4ED5" w:rsidP="001F4ED5">
      <w:pPr>
        <w:pStyle w:val="FootnoteText"/>
      </w:pPr>
      <w:r w:rsidRPr="006839F4">
        <w:rPr>
          <w:rStyle w:val="FootnoteReference"/>
          <w:rFonts w:asciiTheme="majorBidi" w:hAnsiTheme="majorBidi" w:cstheme="majorBidi"/>
        </w:rPr>
        <w:footnoteRef/>
      </w:r>
      <w:r w:rsidRPr="006839F4">
        <w:rPr>
          <w:rFonts w:asciiTheme="majorBidi" w:hAnsiTheme="majorBidi" w:cstheme="majorBidi"/>
        </w:rPr>
        <w:t xml:space="preserve"> Statistics Code of Practice for the European Neighborhood South countries (based on the European Statistics Code of Practice)</w:t>
      </w:r>
      <w:r w:rsidR="00697AEF" w:rsidRPr="006839F4">
        <w:rPr>
          <w:rFonts w:asciiTheme="majorBidi" w:hAnsiTheme="majorBidi" w:cstheme="majorBidi"/>
        </w:rPr>
        <w:t>, principle (9)</w:t>
      </w:r>
      <w:r w:rsidRPr="006839F4">
        <w:rPr>
          <w:rFonts w:asciiTheme="majorBidi" w:hAnsiTheme="majorBidi" w:cstheme="majorBidi"/>
        </w:rPr>
        <w:t xml:space="preserve">, Eurostat, </w:t>
      </w:r>
      <w:proofErr w:type="gramStart"/>
      <w:r w:rsidRPr="006839F4">
        <w:rPr>
          <w:rFonts w:asciiTheme="majorBidi" w:hAnsiTheme="majorBidi" w:cstheme="majorBidi"/>
        </w:rPr>
        <w:t>April,</w:t>
      </w:r>
      <w:proofErr w:type="gramEnd"/>
      <w:r w:rsidRPr="006839F4">
        <w:rPr>
          <w:rFonts w:asciiTheme="majorBidi" w:hAnsiTheme="majorBidi" w:cstheme="majorBidi"/>
        </w:rPr>
        <w:t xml:space="preserve"> 2016</w:t>
      </w:r>
      <w:r w:rsidR="00C4587E">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70B"/>
    <w:multiLevelType w:val="hybridMultilevel"/>
    <w:tmpl w:val="F0E89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BB7F95"/>
    <w:multiLevelType w:val="hybridMultilevel"/>
    <w:tmpl w:val="86C83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D2D6A"/>
    <w:multiLevelType w:val="hybridMultilevel"/>
    <w:tmpl w:val="F1C4A11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75500F7"/>
    <w:multiLevelType w:val="multilevel"/>
    <w:tmpl w:val="2A8C961C"/>
    <w:lvl w:ilvl="0">
      <w:start w:val="1"/>
      <w:numFmt w:val="decimal"/>
      <w:lvlText w:val="%1."/>
      <w:lvlJc w:val="left"/>
      <w:pPr>
        <w:ind w:left="450" w:hanging="360"/>
      </w:pPr>
      <w:rPr>
        <w:rFonts w:hint="default"/>
        <w:b/>
        <w:bCs/>
      </w:rPr>
    </w:lvl>
    <w:lvl w:ilvl="1">
      <w:start w:val="1"/>
      <w:numFmt w:val="decimal"/>
      <w:isLgl/>
      <w:lvlText w:val="%1.%2"/>
      <w:lvlJc w:val="left"/>
      <w:pPr>
        <w:ind w:left="630" w:hanging="360"/>
      </w:pPr>
      <w:rPr>
        <w:rFonts w:hint="default"/>
        <w:b/>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B0163DE"/>
    <w:multiLevelType w:val="multilevel"/>
    <w:tmpl w:val="F7E6CCA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260" w:hanging="720"/>
      </w:pPr>
      <w:rPr>
        <w:rFonts w:hint="default"/>
        <w:sz w:val="24"/>
      </w:rPr>
    </w:lvl>
    <w:lvl w:ilvl="3">
      <w:start w:val="1"/>
      <w:numFmt w:val="decimal"/>
      <w:lvlText w:val="%1.%2.%3.%4"/>
      <w:lvlJc w:val="left"/>
      <w:pPr>
        <w:ind w:left="1890" w:hanging="1080"/>
      </w:pPr>
      <w:rPr>
        <w:rFonts w:hint="default"/>
        <w:sz w:val="24"/>
      </w:rPr>
    </w:lvl>
    <w:lvl w:ilvl="4">
      <w:start w:val="1"/>
      <w:numFmt w:val="decimal"/>
      <w:lvlText w:val="%1.%2.%3.%4.%5"/>
      <w:lvlJc w:val="left"/>
      <w:pPr>
        <w:ind w:left="2160" w:hanging="1080"/>
      </w:pPr>
      <w:rPr>
        <w:rFonts w:hint="default"/>
        <w:sz w:val="24"/>
      </w:rPr>
    </w:lvl>
    <w:lvl w:ilvl="5">
      <w:start w:val="1"/>
      <w:numFmt w:val="decimal"/>
      <w:lvlText w:val="%1.%2.%3.%4.%5.%6"/>
      <w:lvlJc w:val="left"/>
      <w:pPr>
        <w:ind w:left="2790" w:hanging="1440"/>
      </w:pPr>
      <w:rPr>
        <w:rFonts w:hint="default"/>
        <w:sz w:val="24"/>
      </w:rPr>
    </w:lvl>
    <w:lvl w:ilvl="6">
      <w:start w:val="1"/>
      <w:numFmt w:val="decimal"/>
      <w:lvlText w:val="%1.%2.%3.%4.%5.%6.%7"/>
      <w:lvlJc w:val="left"/>
      <w:pPr>
        <w:ind w:left="3060" w:hanging="1440"/>
      </w:pPr>
      <w:rPr>
        <w:rFonts w:hint="default"/>
        <w:sz w:val="24"/>
      </w:rPr>
    </w:lvl>
    <w:lvl w:ilvl="7">
      <w:start w:val="1"/>
      <w:numFmt w:val="decimal"/>
      <w:lvlText w:val="%1.%2.%3.%4.%5.%6.%7.%8"/>
      <w:lvlJc w:val="left"/>
      <w:pPr>
        <w:ind w:left="3690" w:hanging="1800"/>
      </w:pPr>
      <w:rPr>
        <w:rFonts w:hint="default"/>
        <w:sz w:val="24"/>
      </w:rPr>
    </w:lvl>
    <w:lvl w:ilvl="8">
      <w:start w:val="1"/>
      <w:numFmt w:val="decimal"/>
      <w:lvlText w:val="%1.%2.%3.%4.%5.%6.%7.%8.%9"/>
      <w:lvlJc w:val="left"/>
      <w:pPr>
        <w:ind w:left="4320" w:hanging="2160"/>
      </w:pPr>
      <w:rPr>
        <w:rFonts w:hint="default"/>
        <w:sz w:val="24"/>
      </w:rPr>
    </w:lvl>
  </w:abstractNum>
  <w:abstractNum w:abstractNumId="5" w15:restartNumberingAfterBreak="0">
    <w:nsid w:val="0D470ED6"/>
    <w:multiLevelType w:val="multilevel"/>
    <w:tmpl w:val="BCFA64F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526C11"/>
    <w:multiLevelType w:val="hybridMultilevel"/>
    <w:tmpl w:val="0F245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95E4A"/>
    <w:multiLevelType w:val="hybridMultilevel"/>
    <w:tmpl w:val="02C0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8695A"/>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0149F"/>
    <w:multiLevelType w:val="hybridMultilevel"/>
    <w:tmpl w:val="ACFA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F4E74"/>
    <w:multiLevelType w:val="hybridMultilevel"/>
    <w:tmpl w:val="05FCF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63150"/>
    <w:multiLevelType w:val="hybridMultilevel"/>
    <w:tmpl w:val="26DC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B30ED"/>
    <w:multiLevelType w:val="multilevel"/>
    <w:tmpl w:val="6782862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3" w15:restartNumberingAfterBreak="0">
    <w:nsid w:val="2A257970"/>
    <w:multiLevelType w:val="hybridMultilevel"/>
    <w:tmpl w:val="19DC74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2EBF0C9E"/>
    <w:multiLevelType w:val="hybridMultilevel"/>
    <w:tmpl w:val="8BF6FDC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03C0E34"/>
    <w:multiLevelType w:val="hybridMultilevel"/>
    <w:tmpl w:val="3858D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03DEF"/>
    <w:multiLevelType w:val="hybridMultilevel"/>
    <w:tmpl w:val="7B6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C0FDD"/>
    <w:multiLevelType w:val="multilevel"/>
    <w:tmpl w:val="F7E6CCA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260" w:hanging="720"/>
      </w:pPr>
      <w:rPr>
        <w:rFonts w:hint="default"/>
        <w:sz w:val="24"/>
      </w:rPr>
    </w:lvl>
    <w:lvl w:ilvl="3">
      <w:start w:val="1"/>
      <w:numFmt w:val="decimal"/>
      <w:lvlText w:val="%1.%2.%3.%4"/>
      <w:lvlJc w:val="left"/>
      <w:pPr>
        <w:ind w:left="1890" w:hanging="1080"/>
      </w:pPr>
      <w:rPr>
        <w:rFonts w:hint="default"/>
        <w:sz w:val="24"/>
      </w:rPr>
    </w:lvl>
    <w:lvl w:ilvl="4">
      <w:start w:val="1"/>
      <w:numFmt w:val="decimal"/>
      <w:lvlText w:val="%1.%2.%3.%4.%5"/>
      <w:lvlJc w:val="left"/>
      <w:pPr>
        <w:ind w:left="2160" w:hanging="1080"/>
      </w:pPr>
      <w:rPr>
        <w:rFonts w:hint="default"/>
        <w:sz w:val="24"/>
      </w:rPr>
    </w:lvl>
    <w:lvl w:ilvl="5">
      <w:start w:val="1"/>
      <w:numFmt w:val="decimal"/>
      <w:lvlText w:val="%1.%2.%3.%4.%5.%6"/>
      <w:lvlJc w:val="left"/>
      <w:pPr>
        <w:ind w:left="2790" w:hanging="1440"/>
      </w:pPr>
      <w:rPr>
        <w:rFonts w:hint="default"/>
        <w:sz w:val="24"/>
      </w:rPr>
    </w:lvl>
    <w:lvl w:ilvl="6">
      <w:start w:val="1"/>
      <w:numFmt w:val="decimal"/>
      <w:lvlText w:val="%1.%2.%3.%4.%5.%6.%7"/>
      <w:lvlJc w:val="left"/>
      <w:pPr>
        <w:ind w:left="3060" w:hanging="1440"/>
      </w:pPr>
      <w:rPr>
        <w:rFonts w:hint="default"/>
        <w:sz w:val="24"/>
      </w:rPr>
    </w:lvl>
    <w:lvl w:ilvl="7">
      <w:start w:val="1"/>
      <w:numFmt w:val="decimal"/>
      <w:lvlText w:val="%1.%2.%3.%4.%5.%6.%7.%8"/>
      <w:lvlJc w:val="left"/>
      <w:pPr>
        <w:ind w:left="3690" w:hanging="1800"/>
      </w:pPr>
      <w:rPr>
        <w:rFonts w:hint="default"/>
        <w:sz w:val="24"/>
      </w:rPr>
    </w:lvl>
    <w:lvl w:ilvl="8">
      <w:start w:val="1"/>
      <w:numFmt w:val="decimal"/>
      <w:lvlText w:val="%1.%2.%3.%4.%5.%6.%7.%8.%9"/>
      <w:lvlJc w:val="left"/>
      <w:pPr>
        <w:ind w:left="4320" w:hanging="2160"/>
      </w:pPr>
      <w:rPr>
        <w:rFonts w:hint="default"/>
        <w:sz w:val="24"/>
      </w:rPr>
    </w:lvl>
  </w:abstractNum>
  <w:abstractNum w:abstractNumId="18" w15:restartNumberingAfterBreak="0">
    <w:nsid w:val="49FA5353"/>
    <w:multiLevelType w:val="multilevel"/>
    <w:tmpl w:val="FC0611D2"/>
    <w:lvl w:ilvl="0">
      <w:start w:val="1"/>
      <w:numFmt w:val="decimal"/>
      <w:lvlText w:val="%1."/>
      <w:lvlJc w:val="left"/>
      <w:pPr>
        <w:ind w:left="81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F05DF"/>
    <w:multiLevelType w:val="multilevel"/>
    <w:tmpl w:val="F524003A"/>
    <w:lvl w:ilvl="0">
      <w:start w:val="3"/>
      <w:numFmt w:val="decimal"/>
      <w:lvlText w:val="%1"/>
      <w:lvlJc w:val="left"/>
      <w:pPr>
        <w:ind w:left="480" w:hanging="480"/>
      </w:pPr>
      <w:rPr>
        <w:rFonts w:hint="default"/>
        <w:b/>
        <w:bCs/>
      </w:rPr>
    </w:lvl>
    <w:lvl w:ilvl="1">
      <w:start w:val="2"/>
      <w:numFmt w:val="decimal"/>
      <w:lvlText w:val="%1.%2"/>
      <w:lvlJc w:val="left"/>
      <w:pPr>
        <w:ind w:left="75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D6D79"/>
    <w:multiLevelType w:val="hybridMultilevel"/>
    <w:tmpl w:val="F46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E7137"/>
    <w:multiLevelType w:val="multilevel"/>
    <w:tmpl w:val="32A8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16EA0"/>
    <w:multiLevelType w:val="hybridMultilevel"/>
    <w:tmpl w:val="9F7CF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65ED3"/>
    <w:multiLevelType w:val="hybridMultilevel"/>
    <w:tmpl w:val="2A823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A4D83"/>
    <w:multiLevelType w:val="hybridMultilevel"/>
    <w:tmpl w:val="8E60A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8787E"/>
    <w:multiLevelType w:val="hybridMultilevel"/>
    <w:tmpl w:val="7B141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5290C"/>
    <w:multiLevelType w:val="hybridMultilevel"/>
    <w:tmpl w:val="FB9A08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343C3"/>
    <w:multiLevelType w:val="hybridMultilevel"/>
    <w:tmpl w:val="18B2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45B5"/>
    <w:multiLevelType w:val="hybridMultilevel"/>
    <w:tmpl w:val="FA5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F65FA"/>
    <w:multiLevelType w:val="hybridMultilevel"/>
    <w:tmpl w:val="FD26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9"/>
  </w:num>
  <w:num w:numId="4">
    <w:abstractNumId w:val="5"/>
  </w:num>
  <w:num w:numId="5">
    <w:abstractNumId w:val="20"/>
  </w:num>
  <w:num w:numId="6">
    <w:abstractNumId w:val="27"/>
  </w:num>
  <w:num w:numId="7">
    <w:abstractNumId w:val="6"/>
  </w:num>
  <w:num w:numId="8">
    <w:abstractNumId w:val="10"/>
  </w:num>
  <w:num w:numId="9">
    <w:abstractNumId w:val="15"/>
  </w:num>
  <w:num w:numId="10">
    <w:abstractNumId w:val="19"/>
  </w:num>
  <w:num w:numId="11">
    <w:abstractNumId w:val="4"/>
  </w:num>
  <w:num w:numId="12">
    <w:abstractNumId w:val="26"/>
  </w:num>
  <w:num w:numId="13">
    <w:abstractNumId w:val="22"/>
  </w:num>
  <w:num w:numId="14">
    <w:abstractNumId w:val="24"/>
  </w:num>
  <w:num w:numId="15">
    <w:abstractNumId w:val="21"/>
  </w:num>
  <w:num w:numId="16">
    <w:abstractNumId w:val="25"/>
  </w:num>
  <w:num w:numId="17">
    <w:abstractNumId w:val="23"/>
  </w:num>
  <w:num w:numId="18">
    <w:abstractNumId w:val="0"/>
  </w:num>
  <w:num w:numId="19">
    <w:abstractNumId w:val="18"/>
  </w:num>
  <w:num w:numId="20">
    <w:abstractNumId w:val="14"/>
  </w:num>
  <w:num w:numId="21">
    <w:abstractNumId w:val="28"/>
  </w:num>
  <w:num w:numId="22">
    <w:abstractNumId w:val="16"/>
  </w:num>
  <w:num w:numId="23">
    <w:abstractNumId w:val="9"/>
  </w:num>
  <w:num w:numId="24">
    <w:abstractNumId w:val="17"/>
  </w:num>
  <w:num w:numId="25">
    <w:abstractNumId w:val="12"/>
  </w:num>
  <w:num w:numId="26">
    <w:abstractNumId w:val="2"/>
  </w:num>
  <w:num w:numId="27">
    <w:abstractNumId w:val="8"/>
  </w:num>
  <w:num w:numId="28">
    <w:abstractNumId w:val="13"/>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BB"/>
    <w:rsid w:val="00001056"/>
    <w:rsid w:val="0000573A"/>
    <w:rsid w:val="000118BB"/>
    <w:rsid w:val="00012439"/>
    <w:rsid w:val="000179C5"/>
    <w:rsid w:val="000252C7"/>
    <w:rsid w:val="000257B2"/>
    <w:rsid w:val="0002708B"/>
    <w:rsid w:val="00030AB7"/>
    <w:rsid w:val="000310DD"/>
    <w:rsid w:val="00035535"/>
    <w:rsid w:val="00035673"/>
    <w:rsid w:val="00036793"/>
    <w:rsid w:val="00037054"/>
    <w:rsid w:val="000458C5"/>
    <w:rsid w:val="00047B8B"/>
    <w:rsid w:val="000638C3"/>
    <w:rsid w:val="00067B45"/>
    <w:rsid w:val="000700D9"/>
    <w:rsid w:val="000705AD"/>
    <w:rsid w:val="00072776"/>
    <w:rsid w:val="00072C09"/>
    <w:rsid w:val="00073C8F"/>
    <w:rsid w:val="00073EE6"/>
    <w:rsid w:val="00076FCC"/>
    <w:rsid w:val="0008096D"/>
    <w:rsid w:val="0008481D"/>
    <w:rsid w:val="0009164E"/>
    <w:rsid w:val="00093C90"/>
    <w:rsid w:val="000A2D74"/>
    <w:rsid w:val="000A58B9"/>
    <w:rsid w:val="000A7DC2"/>
    <w:rsid w:val="000B3E8C"/>
    <w:rsid w:val="000B4305"/>
    <w:rsid w:val="000C48AF"/>
    <w:rsid w:val="000C4C52"/>
    <w:rsid w:val="000D2F8F"/>
    <w:rsid w:val="000E18B7"/>
    <w:rsid w:val="000F028D"/>
    <w:rsid w:val="000F7AC2"/>
    <w:rsid w:val="0010555F"/>
    <w:rsid w:val="00105780"/>
    <w:rsid w:val="001120DE"/>
    <w:rsid w:val="00112339"/>
    <w:rsid w:val="00113885"/>
    <w:rsid w:val="0011411F"/>
    <w:rsid w:val="00122575"/>
    <w:rsid w:val="001333A4"/>
    <w:rsid w:val="00134D81"/>
    <w:rsid w:val="00147F69"/>
    <w:rsid w:val="001521A6"/>
    <w:rsid w:val="0015405B"/>
    <w:rsid w:val="001572D5"/>
    <w:rsid w:val="001709C8"/>
    <w:rsid w:val="00172254"/>
    <w:rsid w:val="00173964"/>
    <w:rsid w:val="00175DCE"/>
    <w:rsid w:val="001806FA"/>
    <w:rsid w:val="00181CB1"/>
    <w:rsid w:val="00182193"/>
    <w:rsid w:val="001A0C33"/>
    <w:rsid w:val="001B17A3"/>
    <w:rsid w:val="001B600B"/>
    <w:rsid w:val="001B7A2F"/>
    <w:rsid w:val="001C1510"/>
    <w:rsid w:val="001C4F71"/>
    <w:rsid w:val="001C5408"/>
    <w:rsid w:val="001D0672"/>
    <w:rsid w:val="001D55BE"/>
    <w:rsid w:val="001E1496"/>
    <w:rsid w:val="001E50E7"/>
    <w:rsid w:val="001F4ED5"/>
    <w:rsid w:val="002005CC"/>
    <w:rsid w:val="0020191B"/>
    <w:rsid w:val="0021029C"/>
    <w:rsid w:val="002107D2"/>
    <w:rsid w:val="00211060"/>
    <w:rsid w:val="00221F8B"/>
    <w:rsid w:val="00223FB4"/>
    <w:rsid w:val="00224501"/>
    <w:rsid w:val="0022608F"/>
    <w:rsid w:val="0023034C"/>
    <w:rsid w:val="00230957"/>
    <w:rsid w:val="002548BF"/>
    <w:rsid w:val="00256CE9"/>
    <w:rsid w:val="002615E7"/>
    <w:rsid w:val="002725F5"/>
    <w:rsid w:val="00273A1E"/>
    <w:rsid w:val="002743EB"/>
    <w:rsid w:val="00275221"/>
    <w:rsid w:val="002840D7"/>
    <w:rsid w:val="0029025B"/>
    <w:rsid w:val="00292143"/>
    <w:rsid w:val="00292981"/>
    <w:rsid w:val="002B04B6"/>
    <w:rsid w:val="002B5065"/>
    <w:rsid w:val="002C096C"/>
    <w:rsid w:val="002C4C0B"/>
    <w:rsid w:val="002C786D"/>
    <w:rsid w:val="002D72D0"/>
    <w:rsid w:val="002E23F4"/>
    <w:rsid w:val="002E4D86"/>
    <w:rsid w:val="002F6EE7"/>
    <w:rsid w:val="00300C52"/>
    <w:rsid w:val="003137BE"/>
    <w:rsid w:val="00316690"/>
    <w:rsid w:val="00320D71"/>
    <w:rsid w:val="003239A0"/>
    <w:rsid w:val="0032572E"/>
    <w:rsid w:val="00332530"/>
    <w:rsid w:val="003369C3"/>
    <w:rsid w:val="00337AB2"/>
    <w:rsid w:val="00342B17"/>
    <w:rsid w:val="0034327A"/>
    <w:rsid w:val="003449B4"/>
    <w:rsid w:val="00346334"/>
    <w:rsid w:val="003501A8"/>
    <w:rsid w:val="00354C59"/>
    <w:rsid w:val="003569E0"/>
    <w:rsid w:val="0035766E"/>
    <w:rsid w:val="00376A62"/>
    <w:rsid w:val="00387358"/>
    <w:rsid w:val="003875CA"/>
    <w:rsid w:val="0039026F"/>
    <w:rsid w:val="00392DA9"/>
    <w:rsid w:val="00395974"/>
    <w:rsid w:val="003A505F"/>
    <w:rsid w:val="003A636C"/>
    <w:rsid w:val="003B039F"/>
    <w:rsid w:val="003B1179"/>
    <w:rsid w:val="003B3958"/>
    <w:rsid w:val="003B3EC9"/>
    <w:rsid w:val="003B6675"/>
    <w:rsid w:val="003D175E"/>
    <w:rsid w:val="003D390A"/>
    <w:rsid w:val="003D5034"/>
    <w:rsid w:val="003D68F8"/>
    <w:rsid w:val="003E1A00"/>
    <w:rsid w:val="003F23B3"/>
    <w:rsid w:val="003F49E7"/>
    <w:rsid w:val="003F5836"/>
    <w:rsid w:val="003F7155"/>
    <w:rsid w:val="003F72B3"/>
    <w:rsid w:val="0040290A"/>
    <w:rsid w:val="004060EC"/>
    <w:rsid w:val="00413EAD"/>
    <w:rsid w:val="00425508"/>
    <w:rsid w:val="0042564A"/>
    <w:rsid w:val="0043241F"/>
    <w:rsid w:val="0043255B"/>
    <w:rsid w:val="004354D7"/>
    <w:rsid w:val="00444E23"/>
    <w:rsid w:val="004545F7"/>
    <w:rsid w:val="00454F2A"/>
    <w:rsid w:val="00477834"/>
    <w:rsid w:val="004806B6"/>
    <w:rsid w:val="00484AF3"/>
    <w:rsid w:val="00490081"/>
    <w:rsid w:val="0049463A"/>
    <w:rsid w:val="0049468F"/>
    <w:rsid w:val="00495F30"/>
    <w:rsid w:val="004A060A"/>
    <w:rsid w:val="004A1480"/>
    <w:rsid w:val="004A2771"/>
    <w:rsid w:val="004A5320"/>
    <w:rsid w:val="004A692B"/>
    <w:rsid w:val="004B1EAB"/>
    <w:rsid w:val="004B354D"/>
    <w:rsid w:val="004B5675"/>
    <w:rsid w:val="004B72A1"/>
    <w:rsid w:val="004C4BBE"/>
    <w:rsid w:val="004D0FED"/>
    <w:rsid w:val="004D261D"/>
    <w:rsid w:val="004E5618"/>
    <w:rsid w:val="004F2176"/>
    <w:rsid w:val="004F4210"/>
    <w:rsid w:val="004F4BD4"/>
    <w:rsid w:val="005039DA"/>
    <w:rsid w:val="00504B3A"/>
    <w:rsid w:val="00516A2C"/>
    <w:rsid w:val="00526B99"/>
    <w:rsid w:val="00551E63"/>
    <w:rsid w:val="005601BD"/>
    <w:rsid w:val="005620DE"/>
    <w:rsid w:val="0057034B"/>
    <w:rsid w:val="005716C3"/>
    <w:rsid w:val="0057185B"/>
    <w:rsid w:val="00571CD7"/>
    <w:rsid w:val="005740D1"/>
    <w:rsid w:val="0058334A"/>
    <w:rsid w:val="0058513D"/>
    <w:rsid w:val="00586519"/>
    <w:rsid w:val="005A3732"/>
    <w:rsid w:val="005A508A"/>
    <w:rsid w:val="005A5A80"/>
    <w:rsid w:val="005A669D"/>
    <w:rsid w:val="005C089E"/>
    <w:rsid w:val="005C3A82"/>
    <w:rsid w:val="005C5770"/>
    <w:rsid w:val="005C73C8"/>
    <w:rsid w:val="005D6E6A"/>
    <w:rsid w:val="005E05A7"/>
    <w:rsid w:val="005E09FE"/>
    <w:rsid w:val="005E1925"/>
    <w:rsid w:val="005E640B"/>
    <w:rsid w:val="005F53BE"/>
    <w:rsid w:val="006021F8"/>
    <w:rsid w:val="006100D1"/>
    <w:rsid w:val="00616222"/>
    <w:rsid w:val="00622E5D"/>
    <w:rsid w:val="00634163"/>
    <w:rsid w:val="006418AA"/>
    <w:rsid w:val="0065305A"/>
    <w:rsid w:val="00656191"/>
    <w:rsid w:val="0066015A"/>
    <w:rsid w:val="00660E09"/>
    <w:rsid w:val="006631E9"/>
    <w:rsid w:val="0066707B"/>
    <w:rsid w:val="006701B2"/>
    <w:rsid w:val="006750AB"/>
    <w:rsid w:val="0068067D"/>
    <w:rsid w:val="00681106"/>
    <w:rsid w:val="006839F4"/>
    <w:rsid w:val="0068738B"/>
    <w:rsid w:val="00687BA0"/>
    <w:rsid w:val="00694E20"/>
    <w:rsid w:val="00696FBC"/>
    <w:rsid w:val="00697AEF"/>
    <w:rsid w:val="006A10E7"/>
    <w:rsid w:val="006A4AAE"/>
    <w:rsid w:val="006B02C8"/>
    <w:rsid w:val="006B0603"/>
    <w:rsid w:val="006C0517"/>
    <w:rsid w:val="006C1623"/>
    <w:rsid w:val="006C4D8A"/>
    <w:rsid w:val="006C5762"/>
    <w:rsid w:val="006C6EC0"/>
    <w:rsid w:val="006D2992"/>
    <w:rsid w:val="006D36D4"/>
    <w:rsid w:val="006D4F54"/>
    <w:rsid w:val="006E08A4"/>
    <w:rsid w:val="006E3639"/>
    <w:rsid w:val="006E4893"/>
    <w:rsid w:val="006F302A"/>
    <w:rsid w:val="006F38F5"/>
    <w:rsid w:val="006F5402"/>
    <w:rsid w:val="006F6337"/>
    <w:rsid w:val="0070007E"/>
    <w:rsid w:val="00700390"/>
    <w:rsid w:val="007006F4"/>
    <w:rsid w:val="00703933"/>
    <w:rsid w:val="00704D80"/>
    <w:rsid w:val="007055C0"/>
    <w:rsid w:val="007066E1"/>
    <w:rsid w:val="00714FEB"/>
    <w:rsid w:val="00723412"/>
    <w:rsid w:val="00724387"/>
    <w:rsid w:val="00730BCD"/>
    <w:rsid w:val="00730DC0"/>
    <w:rsid w:val="007312AF"/>
    <w:rsid w:val="00733846"/>
    <w:rsid w:val="007366EB"/>
    <w:rsid w:val="00740F90"/>
    <w:rsid w:val="00756564"/>
    <w:rsid w:val="00757CF9"/>
    <w:rsid w:val="00766AA3"/>
    <w:rsid w:val="007723E3"/>
    <w:rsid w:val="00773CD0"/>
    <w:rsid w:val="00775479"/>
    <w:rsid w:val="007874BA"/>
    <w:rsid w:val="00787BF3"/>
    <w:rsid w:val="00793F67"/>
    <w:rsid w:val="00793F8D"/>
    <w:rsid w:val="007A1640"/>
    <w:rsid w:val="007A46F6"/>
    <w:rsid w:val="007B310F"/>
    <w:rsid w:val="007C05FA"/>
    <w:rsid w:val="007C08E6"/>
    <w:rsid w:val="007C0C67"/>
    <w:rsid w:val="007C46A2"/>
    <w:rsid w:val="007C6E33"/>
    <w:rsid w:val="007D501C"/>
    <w:rsid w:val="007F06FE"/>
    <w:rsid w:val="007F4B64"/>
    <w:rsid w:val="00804289"/>
    <w:rsid w:val="00807D61"/>
    <w:rsid w:val="00811FBB"/>
    <w:rsid w:val="0081272C"/>
    <w:rsid w:val="00815C42"/>
    <w:rsid w:val="00815D9F"/>
    <w:rsid w:val="00820EF3"/>
    <w:rsid w:val="008267E7"/>
    <w:rsid w:val="00830179"/>
    <w:rsid w:val="00843A6A"/>
    <w:rsid w:val="008507B5"/>
    <w:rsid w:val="00851596"/>
    <w:rsid w:val="00856525"/>
    <w:rsid w:val="00856745"/>
    <w:rsid w:val="00856A55"/>
    <w:rsid w:val="00863894"/>
    <w:rsid w:val="00877624"/>
    <w:rsid w:val="00883BB6"/>
    <w:rsid w:val="00890E5B"/>
    <w:rsid w:val="008945CA"/>
    <w:rsid w:val="008A0994"/>
    <w:rsid w:val="008A0D78"/>
    <w:rsid w:val="008A2B82"/>
    <w:rsid w:val="008A4BA2"/>
    <w:rsid w:val="008A5762"/>
    <w:rsid w:val="008A58AE"/>
    <w:rsid w:val="008B1321"/>
    <w:rsid w:val="008B3C86"/>
    <w:rsid w:val="008B3E24"/>
    <w:rsid w:val="008B4404"/>
    <w:rsid w:val="008B623E"/>
    <w:rsid w:val="008C303E"/>
    <w:rsid w:val="008C4B20"/>
    <w:rsid w:val="008C6309"/>
    <w:rsid w:val="008D09CA"/>
    <w:rsid w:val="008D7362"/>
    <w:rsid w:val="008E631C"/>
    <w:rsid w:val="00903014"/>
    <w:rsid w:val="009106EE"/>
    <w:rsid w:val="00910BCC"/>
    <w:rsid w:val="00916C4A"/>
    <w:rsid w:val="009242D5"/>
    <w:rsid w:val="00924D28"/>
    <w:rsid w:val="0092551D"/>
    <w:rsid w:val="00925677"/>
    <w:rsid w:val="00926C71"/>
    <w:rsid w:val="00927DE1"/>
    <w:rsid w:val="00930D20"/>
    <w:rsid w:val="009348D8"/>
    <w:rsid w:val="00937F61"/>
    <w:rsid w:val="009404DD"/>
    <w:rsid w:val="009406B1"/>
    <w:rsid w:val="00940AFC"/>
    <w:rsid w:val="009464F1"/>
    <w:rsid w:val="00955F3B"/>
    <w:rsid w:val="00960DB3"/>
    <w:rsid w:val="00967D24"/>
    <w:rsid w:val="00972509"/>
    <w:rsid w:val="00973531"/>
    <w:rsid w:val="00976B18"/>
    <w:rsid w:val="00981746"/>
    <w:rsid w:val="009823DB"/>
    <w:rsid w:val="00985FE1"/>
    <w:rsid w:val="00987705"/>
    <w:rsid w:val="009901EC"/>
    <w:rsid w:val="00990319"/>
    <w:rsid w:val="009945C9"/>
    <w:rsid w:val="009A275F"/>
    <w:rsid w:val="009A4D9C"/>
    <w:rsid w:val="009A5B8D"/>
    <w:rsid w:val="009B2B32"/>
    <w:rsid w:val="009C4A63"/>
    <w:rsid w:val="009C6171"/>
    <w:rsid w:val="009C7A57"/>
    <w:rsid w:val="009F1910"/>
    <w:rsid w:val="009F4CF5"/>
    <w:rsid w:val="009F722D"/>
    <w:rsid w:val="00A0004C"/>
    <w:rsid w:val="00A01A58"/>
    <w:rsid w:val="00A059E4"/>
    <w:rsid w:val="00A206A4"/>
    <w:rsid w:val="00A263A6"/>
    <w:rsid w:val="00A3394A"/>
    <w:rsid w:val="00A34269"/>
    <w:rsid w:val="00A35623"/>
    <w:rsid w:val="00A36B5E"/>
    <w:rsid w:val="00A4334D"/>
    <w:rsid w:val="00A55BAF"/>
    <w:rsid w:val="00A56E7E"/>
    <w:rsid w:val="00A56FCD"/>
    <w:rsid w:val="00A60E18"/>
    <w:rsid w:val="00A60EA2"/>
    <w:rsid w:val="00A63BF1"/>
    <w:rsid w:val="00A64D0B"/>
    <w:rsid w:val="00A65C25"/>
    <w:rsid w:val="00A66BA6"/>
    <w:rsid w:val="00A71061"/>
    <w:rsid w:val="00A7477A"/>
    <w:rsid w:val="00A7479E"/>
    <w:rsid w:val="00A76E01"/>
    <w:rsid w:val="00A772E9"/>
    <w:rsid w:val="00A84FA4"/>
    <w:rsid w:val="00A933F7"/>
    <w:rsid w:val="00AA1F08"/>
    <w:rsid w:val="00AA3627"/>
    <w:rsid w:val="00AA6FAF"/>
    <w:rsid w:val="00AC45F6"/>
    <w:rsid w:val="00AC6A64"/>
    <w:rsid w:val="00AD0885"/>
    <w:rsid w:val="00AE134D"/>
    <w:rsid w:val="00AE4292"/>
    <w:rsid w:val="00AE56F8"/>
    <w:rsid w:val="00AE5A50"/>
    <w:rsid w:val="00AF650C"/>
    <w:rsid w:val="00AF689F"/>
    <w:rsid w:val="00AF75C4"/>
    <w:rsid w:val="00B01635"/>
    <w:rsid w:val="00B07780"/>
    <w:rsid w:val="00B10BAC"/>
    <w:rsid w:val="00B11AE4"/>
    <w:rsid w:val="00B15DB2"/>
    <w:rsid w:val="00B21306"/>
    <w:rsid w:val="00B22731"/>
    <w:rsid w:val="00B235BA"/>
    <w:rsid w:val="00B30C26"/>
    <w:rsid w:val="00B33F9E"/>
    <w:rsid w:val="00B353B8"/>
    <w:rsid w:val="00B41726"/>
    <w:rsid w:val="00B425D3"/>
    <w:rsid w:val="00B429CC"/>
    <w:rsid w:val="00B43E14"/>
    <w:rsid w:val="00B47FAD"/>
    <w:rsid w:val="00B539E9"/>
    <w:rsid w:val="00B5532D"/>
    <w:rsid w:val="00B55D0B"/>
    <w:rsid w:val="00B60111"/>
    <w:rsid w:val="00B61049"/>
    <w:rsid w:val="00B6561F"/>
    <w:rsid w:val="00B66F35"/>
    <w:rsid w:val="00B672C4"/>
    <w:rsid w:val="00B70116"/>
    <w:rsid w:val="00B71452"/>
    <w:rsid w:val="00B80663"/>
    <w:rsid w:val="00B839D4"/>
    <w:rsid w:val="00B84FDA"/>
    <w:rsid w:val="00B917ED"/>
    <w:rsid w:val="00B94B39"/>
    <w:rsid w:val="00B9790D"/>
    <w:rsid w:val="00BA04C2"/>
    <w:rsid w:val="00BA66B4"/>
    <w:rsid w:val="00BB3569"/>
    <w:rsid w:val="00BB36CD"/>
    <w:rsid w:val="00BB76D6"/>
    <w:rsid w:val="00BC6C25"/>
    <w:rsid w:val="00BC7316"/>
    <w:rsid w:val="00BD17C6"/>
    <w:rsid w:val="00BD2741"/>
    <w:rsid w:val="00BE2E4A"/>
    <w:rsid w:val="00BE448E"/>
    <w:rsid w:val="00BE53F2"/>
    <w:rsid w:val="00BE58F4"/>
    <w:rsid w:val="00BF0005"/>
    <w:rsid w:val="00BF5CB7"/>
    <w:rsid w:val="00BF65DD"/>
    <w:rsid w:val="00C025CE"/>
    <w:rsid w:val="00C03A17"/>
    <w:rsid w:val="00C1693C"/>
    <w:rsid w:val="00C203F8"/>
    <w:rsid w:val="00C24BA9"/>
    <w:rsid w:val="00C30CC7"/>
    <w:rsid w:val="00C326F1"/>
    <w:rsid w:val="00C328F0"/>
    <w:rsid w:val="00C41978"/>
    <w:rsid w:val="00C425E7"/>
    <w:rsid w:val="00C4587E"/>
    <w:rsid w:val="00C50022"/>
    <w:rsid w:val="00C50867"/>
    <w:rsid w:val="00C60076"/>
    <w:rsid w:val="00C608BC"/>
    <w:rsid w:val="00C61AAA"/>
    <w:rsid w:val="00C61D8C"/>
    <w:rsid w:val="00C65A2B"/>
    <w:rsid w:val="00C67DAF"/>
    <w:rsid w:val="00C70BCA"/>
    <w:rsid w:val="00C8016C"/>
    <w:rsid w:val="00C80944"/>
    <w:rsid w:val="00C919F0"/>
    <w:rsid w:val="00C979C0"/>
    <w:rsid w:val="00CA303E"/>
    <w:rsid w:val="00CA3C42"/>
    <w:rsid w:val="00CB5922"/>
    <w:rsid w:val="00CC3AAA"/>
    <w:rsid w:val="00CC40EB"/>
    <w:rsid w:val="00CC4184"/>
    <w:rsid w:val="00CC48C5"/>
    <w:rsid w:val="00CE13CB"/>
    <w:rsid w:val="00CE3081"/>
    <w:rsid w:val="00CE3DD1"/>
    <w:rsid w:val="00CE63D0"/>
    <w:rsid w:val="00CE650F"/>
    <w:rsid w:val="00CF2653"/>
    <w:rsid w:val="00CF2746"/>
    <w:rsid w:val="00D060E3"/>
    <w:rsid w:val="00D13909"/>
    <w:rsid w:val="00D1582A"/>
    <w:rsid w:val="00D23B45"/>
    <w:rsid w:val="00D26F69"/>
    <w:rsid w:val="00D3102C"/>
    <w:rsid w:val="00D3311A"/>
    <w:rsid w:val="00D35FB5"/>
    <w:rsid w:val="00D41297"/>
    <w:rsid w:val="00D45D7E"/>
    <w:rsid w:val="00D55478"/>
    <w:rsid w:val="00D567DA"/>
    <w:rsid w:val="00D5732A"/>
    <w:rsid w:val="00D576D4"/>
    <w:rsid w:val="00D62A1C"/>
    <w:rsid w:val="00D66F5C"/>
    <w:rsid w:val="00D7034F"/>
    <w:rsid w:val="00D72E66"/>
    <w:rsid w:val="00D74CBB"/>
    <w:rsid w:val="00D752BC"/>
    <w:rsid w:val="00D8238A"/>
    <w:rsid w:val="00D94CE6"/>
    <w:rsid w:val="00D97FF0"/>
    <w:rsid w:val="00DA00C4"/>
    <w:rsid w:val="00DA2BC8"/>
    <w:rsid w:val="00DA2ED5"/>
    <w:rsid w:val="00DA7A35"/>
    <w:rsid w:val="00DB1095"/>
    <w:rsid w:val="00DB3BFF"/>
    <w:rsid w:val="00DC3108"/>
    <w:rsid w:val="00DC3934"/>
    <w:rsid w:val="00DC4CD5"/>
    <w:rsid w:val="00DC6EF3"/>
    <w:rsid w:val="00DD30B9"/>
    <w:rsid w:val="00DE71AF"/>
    <w:rsid w:val="00DF36A7"/>
    <w:rsid w:val="00DF5643"/>
    <w:rsid w:val="00E02522"/>
    <w:rsid w:val="00E046CA"/>
    <w:rsid w:val="00E05F57"/>
    <w:rsid w:val="00E06FB3"/>
    <w:rsid w:val="00E07AAD"/>
    <w:rsid w:val="00E1175B"/>
    <w:rsid w:val="00E134F3"/>
    <w:rsid w:val="00E20618"/>
    <w:rsid w:val="00E21529"/>
    <w:rsid w:val="00E30093"/>
    <w:rsid w:val="00E30359"/>
    <w:rsid w:val="00E32CA9"/>
    <w:rsid w:val="00E47E71"/>
    <w:rsid w:val="00E5735B"/>
    <w:rsid w:val="00E61A91"/>
    <w:rsid w:val="00E62EFB"/>
    <w:rsid w:val="00E65052"/>
    <w:rsid w:val="00E7016B"/>
    <w:rsid w:val="00E71381"/>
    <w:rsid w:val="00E759A9"/>
    <w:rsid w:val="00E82D1E"/>
    <w:rsid w:val="00E85BBA"/>
    <w:rsid w:val="00E868F0"/>
    <w:rsid w:val="00E9036B"/>
    <w:rsid w:val="00E95230"/>
    <w:rsid w:val="00EA49F0"/>
    <w:rsid w:val="00EA6545"/>
    <w:rsid w:val="00EB1294"/>
    <w:rsid w:val="00EB134A"/>
    <w:rsid w:val="00EB1423"/>
    <w:rsid w:val="00EC103F"/>
    <w:rsid w:val="00EC2025"/>
    <w:rsid w:val="00EC5F19"/>
    <w:rsid w:val="00EC7935"/>
    <w:rsid w:val="00ED10C0"/>
    <w:rsid w:val="00EE5870"/>
    <w:rsid w:val="00EE7269"/>
    <w:rsid w:val="00EE7678"/>
    <w:rsid w:val="00EF044C"/>
    <w:rsid w:val="00EF0BDA"/>
    <w:rsid w:val="00EF36C6"/>
    <w:rsid w:val="00F16A6E"/>
    <w:rsid w:val="00F20CBE"/>
    <w:rsid w:val="00F22E68"/>
    <w:rsid w:val="00F24279"/>
    <w:rsid w:val="00F26EA6"/>
    <w:rsid w:val="00F37A03"/>
    <w:rsid w:val="00F40E80"/>
    <w:rsid w:val="00F46CE2"/>
    <w:rsid w:val="00F4753F"/>
    <w:rsid w:val="00F47E34"/>
    <w:rsid w:val="00F5318A"/>
    <w:rsid w:val="00F55AFE"/>
    <w:rsid w:val="00F67AD8"/>
    <w:rsid w:val="00F7074F"/>
    <w:rsid w:val="00F7206F"/>
    <w:rsid w:val="00F74AE6"/>
    <w:rsid w:val="00F80ED0"/>
    <w:rsid w:val="00F81517"/>
    <w:rsid w:val="00F8182C"/>
    <w:rsid w:val="00F82BB1"/>
    <w:rsid w:val="00F84A32"/>
    <w:rsid w:val="00F90ED4"/>
    <w:rsid w:val="00F922CF"/>
    <w:rsid w:val="00F977F7"/>
    <w:rsid w:val="00FA0C06"/>
    <w:rsid w:val="00FA5048"/>
    <w:rsid w:val="00FB68FD"/>
    <w:rsid w:val="00FC1F53"/>
    <w:rsid w:val="00FD1EAC"/>
    <w:rsid w:val="00FD1ECC"/>
    <w:rsid w:val="00FE300F"/>
    <w:rsid w:val="00FE3FAA"/>
    <w:rsid w:val="00FF1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944C"/>
  <w15:docId w15:val="{B046FDBB-A110-4FED-A6D6-B87E7317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BB"/>
  </w:style>
  <w:style w:type="paragraph" w:styleId="Heading1">
    <w:name w:val="heading 1"/>
    <w:basedOn w:val="Normal"/>
    <w:next w:val="Normal"/>
    <w:link w:val="Heading1Char"/>
    <w:uiPriority w:val="9"/>
    <w:qFormat/>
    <w:rsid w:val="004A69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FBB"/>
    <w:rPr>
      <w:color w:val="0563C1" w:themeColor="hyperlink"/>
      <w:u w:val="single"/>
    </w:rPr>
  </w:style>
  <w:style w:type="paragraph" w:styleId="ListParagraph">
    <w:name w:val="List Paragraph"/>
    <w:basedOn w:val="Normal"/>
    <w:uiPriority w:val="34"/>
    <w:qFormat/>
    <w:rsid w:val="00811FBB"/>
    <w:pPr>
      <w:ind w:left="720"/>
      <w:contextualSpacing/>
    </w:pPr>
  </w:style>
  <w:style w:type="table" w:styleId="TableGrid">
    <w:name w:val="Table Grid"/>
    <w:basedOn w:val="TableNormal"/>
    <w:uiPriority w:val="39"/>
    <w:rsid w:val="00CC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C48C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4A692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A692B"/>
  </w:style>
  <w:style w:type="table" w:customStyle="1" w:styleId="GridTable5Dark-Accent11">
    <w:name w:val="Grid Table 5 Dark - Accent 11"/>
    <w:basedOn w:val="TableNormal"/>
    <w:uiPriority w:val="50"/>
    <w:rsid w:val="00D94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D94CE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rsid w:val="00D94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1Light-Accent51">
    <w:name w:val="List Table 1 Light - Accent 51"/>
    <w:basedOn w:val="TableNormal"/>
    <w:uiPriority w:val="46"/>
    <w:rsid w:val="00D94CE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11">
    <w:name w:val="Grid Table 2 - Accent 11"/>
    <w:basedOn w:val="TableNormal"/>
    <w:uiPriority w:val="47"/>
    <w:rsid w:val="00D94CE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D576D4"/>
    <w:rPr>
      <w:i/>
      <w:iCs/>
    </w:rPr>
  </w:style>
  <w:style w:type="paragraph" w:styleId="Header">
    <w:name w:val="header"/>
    <w:basedOn w:val="Normal"/>
    <w:link w:val="HeaderChar"/>
    <w:uiPriority w:val="99"/>
    <w:unhideWhenUsed/>
    <w:rsid w:val="001A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C33"/>
  </w:style>
  <w:style w:type="paragraph" w:styleId="Footer">
    <w:name w:val="footer"/>
    <w:basedOn w:val="Normal"/>
    <w:link w:val="FooterChar"/>
    <w:uiPriority w:val="99"/>
    <w:unhideWhenUsed/>
    <w:rsid w:val="001A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C33"/>
  </w:style>
  <w:style w:type="paragraph" w:styleId="FootnoteText">
    <w:name w:val="footnote text"/>
    <w:basedOn w:val="Normal"/>
    <w:link w:val="FootnoteTextChar"/>
    <w:uiPriority w:val="99"/>
    <w:semiHidden/>
    <w:unhideWhenUsed/>
    <w:rsid w:val="006D3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6D4"/>
    <w:rPr>
      <w:sz w:val="20"/>
      <w:szCs w:val="20"/>
    </w:rPr>
  </w:style>
  <w:style w:type="character" w:styleId="FootnoteReference">
    <w:name w:val="footnote reference"/>
    <w:basedOn w:val="DefaultParagraphFont"/>
    <w:uiPriority w:val="99"/>
    <w:semiHidden/>
    <w:unhideWhenUsed/>
    <w:rsid w:val="006D36D4"/>
    <w:rPr>
      <w:vertAlign w:val="superscript"/>
    </w:rPr>
  </w:style>
  <w:style w:type="character" w:styleId="FollowedHyperlink">
    <w:name w:val="FollowedHyperlink"/>
    <w:basedOn w:val="DefaultParagraphFont"/>
    <w:uiPriority w:val="99"/>
    <w:semiHidden/>
    <w:unhideWhenUsed/>
    <w:rsid w:val="001E50E7"/>
    <w:rPr>
      <w:color w:val="954F72" w:themeColor="followedHyperlink"/>
      <w:u w:val="single"/>
    </w:rPr>
  </w:style>
  <w:style w:type="paragraph" w:styleId="NormalWeb">
    <w:name w:val="Normal (Web)"/>
    <w:basedOn w:val="Normal"/>
    <w:uiPriority w:val="99"/>
    <w:unhideWhenUsed/>
    <w:rsid w:val="003F23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F6"/>
    <w:rPr>
      <w:rFonts w:ascii="Segoe UI" w:hAnsi="Segoe UI" w:cs="Segoe UI"/>
      <w:sz w:val="18"/>
      <w:szCs w:val="18"/>
    </w:rPr>
  </w:style>
  <w:style w:type="character" w:styleId="CommentReference">
    <w:name w:val="annotation reference"/>
    <w:basedOn w:val="DefaultParagraphFont"/>
    <w:uiPriority w:val="99"/>
    <w:semiHidden/>
    <w:unhideWhenUsed/>
    <w:rsid w:val="00877624"/>
    <w:rPr>
      <w:sz w:val="16"/>
      <w:szCs w:val="16"/>
    </w:rPr>
  </w:style>
  <w:style w:type="paragraph" w:styleId="CommentText">
    <w:name w:val="annotation text"/>
    <w:basedOn w:val="Normal"/>
    <w:link w:val="CommentTextChar"/>
    <w:uiPriority w:val="99"/>
    <w:unhideWhenUsed/>
    <w:rsid w:val="00877624"/>
    <w:pPr>
      <w:spacing w:line="240" w:lineRule="auto"/>
    </w:pPr>
    <w:rPr>
      <w:sz w:val="20"/>
      <w:szCs w:val="20"/>
    </w:rPr>
  </w:style>
  <w:style w:type="character" w:customStyle="1" w:styleId="CommentTextChar">
    <w:name w:val="Comment Text Char"/>
    <w:basedOn w:val="DefaultParagraphFont"/>
    <w:link w:val="CommentText"/>
    <w:uiPriority w:val="99"/>
    <w:rsid w:val="00877624"/>
    <w:rPr>
      <w:sz w:val="20"/>
      <w:szCs w:val="20"/>
    </w:rPr>
  </w:style>
  <w:style w:type="paragraph" w:styleId="CommentSubject">
    <w:name w:val="annotation subject"/>
    <w:basedOn w:val="CommentText"/>
    <w:next w:val="CommentText"/>
    <w:link w:val="CommentSubjectChar"/>
    <w:uiPriority w:val="99"/>
    <w:semiHidden/>
    <w:unhideWhenUsed/>
    <w:rsid w:val="00877624"/>
    <w:rPr>
      <w:b/>
      <w:bCs/>
    </w:rPr>
  </w:style>
  <w:style w:type="character" w:customStyle="1" w:styleId="CommentSubjectChar">
    <w:name w:val="Comment Subject Char"/>
    <w:basedOn w:val="CommentTextChar"/>
    <w:link w:val="CommentSubject"/>
    <w:uiPriority w:val="99"/>
    <w:semiHidden/>
    <w:rsid w:val="00877624"/>
    <w:rPr>
      <w:b/>
      <w:bCs/>
      <w:sz w:val="20"/>
      <w:szCs w:val="20"/>
    </w:rPr>
  </w:style>
  <w:style w:type="table" w:styleId="GridTable4-Accent6">
    <w:name w:val="Grid Table 4 Accent 6"/>
    <w:basedOn w:val="TableNormal"/>
    <w:uiPriority w:val="49"/>
    <w:rsid w:val="00C61AA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2311">
      <w:bodyDiv w:val="1"/>
      <w:marLeft w:val="0"/>
      <w:marRight w:val="0"/>
      <w:marTop w:val="0"/>
      <w:marBottom w:val="0"/>
      <w:divBdr>
        <w:top w:val="none" w:sz="0" w:space="0" w:color="auto"/>
        <w:left w:val="none" w:sz="0" w:space="0" w:color="auto"/>
        <w:bottom w:val="none" w:sz="0" w:space="0" w:color="auto"/>
        <w:right w:val="none" w:sz="0" w:space="0" w:color="auto"/>
      </w:divBdr>
    </w:div>
    <w:div w:id="114759018">
      <w:bodyDiv w:val="1"/>
      <w:marLeft w:val="0"/>
      <w:marRight w:val="0"/>
      <w:marTop w:val="0"/>
      <w:marBottom w:val="0"/>
      <w:divBdr>
        <w:top w:val="none" w:sz="0" w:space="0" w:color="auto"/>
        <w:left w:val="none" w:sz="0" w:space="0" w:color="auto"/>
        <w:bottom w:val="none" w:sz="0" w:space="0" w:color="auto"/>
        <w:right w:val="none" w:sz="0" w:space="0" w:color="auto"/>
      </w:divBdr>
    </w:div>
    <w:div w:id="142501889">
      <w:bodyDiv w:val="1"/>
      <w:marLeft w:val="0"/>
      <w:marRight w:val="0"/>
      <w:marTop w:val="0"/>
      <w:marBottom w:val="0"/>
      <w:divBdr>
        <w:top w:val="none" w:sz="0" w:space="0" w:color="auto"/>
        <w:left w:val="none" w:sz="0" w:space="0" w:color="auto"/>
        <w:bottom w:val="none" w:sz="0" w:space="0" w:color="auto"/>
        <w:right w:val="none" w:sz="0" w:space="0" w:color="auto"/>
      </w:divBdr>
    </w:div>
    <w:div w:id="433474064">
      <w:bodyDiv w:val="1"/>
      <w:marLeft w:val="0"/>
      <w:marRight w:val="0"/>
      <w:marTop w:val="0"/>
      <w:marBottom w:val="0"/>
      <w:divBdr>
        <w:top w:val="none" w:sz="0" w:space="0" w:color="auto"/>
        <w:left w:val="none" w:sz="0" w:space="0" w:color="auto"/>
        <w:bottom w:val="none" w:sz="0" w:space="0" w:color="auto"/>
        <w:right w:val="none" w:sz="0" w:space="0" w:color="auto"/>
      </w:divBdr>
    </w:div>
    <w:div w:id="463819351">
      <w:bodyDiv w:val="1"/>
      <w:marLeft w:val="0"/>
      <w:marRight w:val="0"/>
      <w:marTop w:val="0"/>
      <w:marBottom w:val="0"/>
      <w:divBdr>
        <w:top w:val="none" w:sz="0" w:space="0" w:color="auto"/>
        <w:left w:val="none" w:sz="0" w:space="0" w:color="auto"/>
        <w:bottom w:val="none" w:sz="0" w:space="0" w:color="auto"/>
        <w:right w:val="none" w:sz="0" w:space="0" w:color="auto"/>
      </w:divBdr>
      <w:divsChild>
        <w:div w:id="716970839">
          <w:marLeft w:val="0"/>
          <w:marRight w:val="0"/>
          <w:marTop w:val="0"/>
          <w:marBottom w:val="195"/>
          <w:divBdr>
            <w:top w:val="none" w:sz="0" w:space="0" w:color="auto"/>
            <w:left w:val="none" w:sz="0" w:space="0" w:color="auto"/>
            <w:bottom w:val="none" w:sz="0" w:space="0" w:color="auto"/>
            <w:right w:val="none" w:sz="0" w:space="0" w:color="auto"/>
          </w:divBdr>
          <w:divsChild>
            <w:div w:id="394664456">
              <w:marLeft w:val="0"/>
              <w:marRight w:val="0"/>
              <w:marTop w:val="0"/>
              <w:marBottom w:val="0"/>
              <w:divBdr>
                <w:top w:val="none" w:sz="0" w:space="0" w:color="auto"/>
                <w:left w:val="none" w:sz="0" w:space="0" w:color="auto"/>
                <w:bottom w:val="none" w:sz="0" w:space="0" w:color="auto"/>
                <w:right w:val="none" w:sz="0" w:space="0" w:color="auto"/>
              </w:divBdr>
            </w:div>
          </w:divsChild>
        </w:div>
        <w:div w:id="1669291352">
          <w:marLeft w:val="0"/>
          <w:marRight w:val="0"/>
          <w:marTop w:val="0"/>
          <w:marBottom w:val="0"/>
          <w:divBdr>
            <w:top w:val="none" w:sz="0" w:space="0" w:color="auto"/>
            <w:left w:val="none" w:sz="0" w:space="0" w:color="auto"/>
            <w:bottom w:val="none" w:sz="0" w:space="0" w:color="auto"/>
            <w:right w:val="none" w:sz="0" w:space="0" w:color="auto"/>
          </w:divBdr>
          <w:divsChild>
            <w:div w:id="683020792">
              <w:marLeft w:val="150"/>
              <w:marRight w:val="0"/>
              <w:marTop w:val="0"/>
              <w:marBottom w:val="90"/>
              <w:divBdr>
                <w:top w:val="none" w:sz="0" w:space="0" w:color="auto"/>
                <w:left w:val="none" w:sz="0" w:space="0" w:color="auto"/>
                <w:bottom w:val="none" w:sz="0" w:space="0" w:color="auto"/>
                <w:right w:val="none" w:sz="0" w:space="0" w:color="auto"/>
              </w:divBdr>
              <w:divsChild>
                <w:div w:id="1451826454">
                  <w:marLeft w:val="0"/>
                  <w:marRight w:val="0"/>
                  <w:marTop w:val="0"/>
                  <w:marBottom w:val="60"/>
                  <w:divBdr>
                    <w:top w:val="none" w:sz="0" w:space="0" w:color="auto"/>
                    <w:left w:val="none" w:sz="0" w:space="0" w:color="auto"/>
                    <w:bottom w:val="none" w:sz="0" w:space="0" w:color="auto"/>
                    <w:right w:val="none" w:sz="0" w:space="0" w:color="auto"/>
                  </w:divBdr>
                  <w:divsChild>
                    <w:div w:id="770978942">
                      <w:marLeft w:val="0"/>
                      <w:marRight w:val="0"/>
                      <w:marTop w:val="75"/>
                      <w:marBottom w:val="0"/>
                      <w:divBdr>
                        <w:top w:val="none" w:sz="0" w:space="0" w:color="auto"/>
                        <w:left w:val="none" w:sz="0" w:space="0" w:color="auto"/>
                        <w:bottom w:val="none" w:sz="0" w:space="0" w:color="auto"/>
                        <w:right w:val="none" w:sz="0" w:space="0" w:color="auto"/>
                      </w:divBdr>
                      <w:divsChild>
                        <w:div w:id="1866940879">
                          <w:marLeft w:val="120"/>
                          <w:marRight w:val="0"/>
                          <w:marTop w:val="0"/>
                          <w:marBottom w:val="0"/>
                          <w:divBdr>
                            <w:top w:val="none" w:sz="0" w:space="0" w:color="auto"/>
                            <w:left w:val="none" w:sz="0" w:space="0" w:color="auto"/>
                            <w:bottom w:val="none" w:sz="0" w:space="0" w:color="auto"/>
                            <w:right w:val="none" w:sz="0" w:space="0" w:color="auto"/>
                          </w:divBdr>
                        </w:div>
                        <w:div w:id="8960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2076">
                  <w:marLeft w:val="0"/>
                  <w:marRight w:val="0"/>
                  <w:marTop w:val="0"/>
                  <w:marBottom w:val="60"/>
                  <w:divBdr>
                    <w:top w:val="none" w:sz="0" w:space="0" w:color="auto"/>
                    <w:left w:val="none" w:sz="0" w:space="0" w:color="auto"/>
                    <w:bottom w:val="none" w:sz="0" w:space="0" w:color="auto"/>
                    <w:right w:val="none" w:sz="0" w:space="0" w:color="auto"/>
                  </w:divBdr>
                </w:div>
                <w:div w:id="10395470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13749307">
      <w:bodyDiv w:val="1"/>
      <w:marLeft w:val="0"/>
      <w:marRight w:val="0"/>
      <w:marTop w:val="0"/>
      <w:marBottom w:val="0"/>
      <w:divBdr>
        <w:top w:val="none" w:sz="0" w:space="0" w:color="auto"/>
        <w:left w:val="none" w:sz="0" w:space="0" w:color="auto"/>
        <w:bottom w:val="none" w:sz="0" w:space="0" w:color="auto"/>
        <w:right w:val="none" w:sz="0" w:space="0" w:color="auto"/>
      </w:divBdr>
    </w:div>
    <w:div w:id="873154163">
      <w:bodyDiv w:val="1"/>
      <w:marLeft w:val="0"/>
      <w:marRight w:val="0"/>
      <w:marTop w:val="0"/>
      <w:marBottom w:val="0"/>
      <w:divBdr>
        <w:top w:val="none" w:sz="0" w:space="0" w:color="auto"/>
        <w:left w:val="none" w:sz="0" w:space="0" w:color="auto"/>
        <w:bottom w:val="none" w:sz="0" w:space="0" w:color="auto"/>
        <w:right w:val="none" w:sz="0" w:space="0" w:color="auto"/>
      </w:divBdr>
    </w:div>
    <w:div w:id="1006708469">
      <w:bodyDiv w:val="1"/>
      <w:marLeft w:val="0"/>
      <w:marRight w:val="0"/>
      <w:marTop w:val="0"/>
      <w:marBottom w:val="0"/>
      <w:divBdr>
        <w:top w:val="none" w:sz="0" w:space="0" w:color="auto"/>
        <w:left w:val="none" w:sz="0" w:space="0" w:color="auto"/>
        <w:bottom w:val="none" w:sz="0" w:space="0" w:color="auto"/>
        <w:right w:val="none" w:sz="0" w:space="0" w:color="auto"/>
      </w:divBdr>
    </w:div>
    <w:div w:id="1116021840">
      <w:bodyDiv w:val="1"/>
      <w:marLeft w:val="0"/>
      <w:marRight w:val="0"/>
      <w:marTop w:val="0"/>
      <w:marBottom w:val="0"/>
      <w:divBdr>
        <w:top w:val="none" w:sz="0" w:space="0" w:color="auto"/>
        <w:left w:val="none" w:sz="0" w:space="0" w:color="auto"/>
        <w:bottom w:val="none" w:sz="0" w:space="0" w:color="auto"/>
        <w:right w:val="none" w:sz="0" w:space="0" w:color="auto"/>
      </w:divBdr>
    </w:div>
    <w:div w:id="1117867346">
      <w:bodyDiv w:val="1"/>
      <w:marLeft w:val="0"/>
      <w:marRight w:val="0"/>
      <w:marTop w:val="0"/>
      <w:marBottom w:val="0"/>
      <w:divBdr>
        <w:top w:val="none" w:sz="0" w:space="0" w:color="auto"/>
        <w:left w:val="none" w:sz="0" w:space="0" w:color="auto"/>
        <w:bottom w:val="none" w:sz="0" w:space="0" w:color="auto"/>
        <w:right w:val="none" w:sz="0" w:space="0" w:color="auto"/>
      </w:divBdr>
    </w:div>
    <w:div w:id="1131900252">
      <w:bodyDiv w:val="1"/>
      <w:marLeft w:val="0"/>
      <w:marRight w:val="0"/>
      <w:marTop w:val="0"/>
      <w:marBottom w:val="0"/>
      <w:divBdr>
        <w:top w:val="none" w:sz="0" w:space="0" w:color="auto"/>
        <w:left w:val="none" w:sz="0" w:space="0" w:color="auto"/>
        <w:bottom w:val="none" w:sz="0" w:space="0" w:color="auto"/>
        <w:right w:val="none" w:sz="0" w:space="0" w:color="auto"/>
      </w:divBdr>
      <w:divsChild>
        <w:div w:id="452557996">
          <w:marLeft w:val="0"/>
          <w:marRight w:val="0"/>
          <w:marTop w:val="0"/>
          <w:marBottom w:val="195"/>
          <w:divBdr>
            <w:top w:val="none" w:sz="0" w:space="0" w:color="auto"/>
            <w:left w:val="none" w:sz="0" w:space="0" w:color="auto"/>
            <w:bottom w:val="none" w:sz="0" w:space="0" w:color="auto"/>
            <w:right w:val="none" w:sz="0" w:space="0" w:color="auto"/>
          </w:divBdr>
          <w:divsChild>
            <w:div w:id="990409603">
              <w:marLeft w:val="0"/>
              <w:marRight w:val="0"/>
              <w:marTop w:val="0"/>
              <w:marBottom w:val="0"/>
              <w:divBdr>
                <w:top w:val="none" w:sz="0" w:space="0" w:color="auto"/>
                <w:left w:val="none" w:sz="0" w:space="0" w:color="auto"/>
                <w:bottom w:val="none" w:sz="0" w:space="0" w:color="auto"/>
                <w:right w:val="none" w:sz="0" w:space="0" w:color="auto"/>
              </w:divBdr>
            </w:div>
          </w:divsChild>
        </w:div>
        <w:div w:id="33963461">
          <w:marLeft w:val="0"/>
          <w:marRight w:val="0"/>
          <w:marTop w:val="0"/>
          <w:marBottom w:val="0"/>
          <w:divBdr>
            <w:top w:val="none" w:sz="0" w:space="0" w:color="auto"/>
            <w:left w:val="none" w:sz="0" w:space="0" w:color="auto"/>
            <w:bottom w:val="none" w:sz="0" w:space="0" w:color="auto"/>
            <w:right w:val="none" w:sz="0" w:space="0" w:color="auto"/>
          </w:divBdr>
          <w:divsChild>
            <w:div w:id="1057626077">
              <w:marLeft w:val="150"/>
              <w:marRight w:val="0"/>
              <w:marTop w:val="0"/>
              <w:marBottom w:val="90"/>
              <w:divBdr>
                <w:top w:val="none" w:sz="0" w:space="0" w:color="auto"/>
                <w:left w:val="none" w:sz="0" w:space="0" w:color="auto"/>
                <w:bottom w:val="none" w:sz="0" w:space="0" w:color="auto"/>
                <w:right w:val="none" w:sz="0" w:space="0" w:color="auto"/>
              </w:divBdr>
              <w:divsChild>
                <w:div w:id="148136024">
                  <w:marLeft w:val="0"/>
                  <w:marRight w:val="0"/>
                  <w:marTop w:val="0"/>
                  <w:marBottom w:val="60"/>
                  <w:divBdr>
                    <w:top w:val="none" w:sz="0" w:space="0" w:color="auto"/>
                    <w:left w:val="none" w:sz="0" w:space="0" w:color="auto"/>
                    <w:bottom w:val="none" w:sz="0" w:space="0" w:color="auto"/>
                    <w:right w:val="none" w:sz="0" w:space="0" w:color="auto"/>
                  </w:divBdr>
                  <w:divsChild>
                    <w:div w:id="2027519375">
                      <w:marLeft w:val="0"/>
                      <w:marRight w:val="0"/>
                      <w:marTop w:val="75"/>
                      <w:marBottom w:val="0"/>
                      <w:divBdr>
                        <w:top w:val="none" w:sz="0" w:space="0" w:color="auto"/>
                        <w:left w:val="none" w:sz="0" w:space="0" w:color="auto"/>
                        <w:bottom w:val="none" w:sz="0" w:space="0" w:color="auto"/>
                        <w:right w:val="none" w:sz="0" w:space="0" w:color="auto"/>
                      </w:divBdr>
                      <w:divsChild>
                        <w:div w:id="312031041">
                          <w:marLeft w:val="120"/>
                          <w:marRight w:val="0"/>
                          <w:marTop w:val="0"/>
                          <w:marBottom w:val="0"/>
                          <w:divBdr>
                            <w:top w:val="none" w:sz="0" w:space="0" w:color="auto"/>
                            <w:left w:val="none" w:sz="0" w:space="0" w:color="auto"/>
                            <w:bottom w:val="none" w:sz="0" w:space="0" w:color="auto"/>
                            <w:right w:val="none" w:sz="0" w:space="0" w:color="auto"/>
                          </w:divBdr>
                        </w:div>
                        <w:div w:id="16270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0482">
                  <w:marLeft w:val="0"/>
                  <w:marRight w:val="0"/>
                  <w:marTop w:val="0"/>
                  <w:marBottom w:val="60"/>
                  <w:divBdr>
                    <w:top w:val="none" w:sz="0" w:space="0" w:color="auto"/>
                    <w:left w:val="none" w:sz="0" w:space="0" w:color="auto"/>
                    <w:bottom w:val="none" w:sz="0" w:space="0" w:color="auto"/>
                    <w:right w:val="none" w:sz="0" w:space="0" w:color="auto"/>
                  </w:divBdr>
                </w:div>
                <w:div w:id="1255903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45996895">
      <w:bodyDiv w:val="1"/>
      <w:marLeft w:val="0"/>
      <w:marRight w:val="0"/>
      <w:marTop w:val="0"/>
      <w:marBottom w:val="0"/>
      <w:divBdr>
        <w:top w:val="none" w:sz="0" w:space="0" w:color="auto"/>
        <w:left w:val="none" w:sz="0" w:space="0" w:color="auto"/>
        <w:bottom w:val="none" w:sz="0" w:space="0" w:color="auto"/>
        <w:right w:val="none" w:sz="0" w:space="0" w:color="auto"/>
      </w:divBdr>
    </w:div>
    <w:div w:id="1478104338">
      <w:bodyDiv w:val="1"/>
      <w:marLeft w:val="0"/>
      <w:marRight w:val="0"/>
      <w:marTop w:val="0"/>
      <w:marBottom w:val="0"/>
      <w:divBdr>
        <w:top w:val="none" w:sz="0" w:space="0" w:color="auto"/>
        <w:left w:val="none" w:sz="0" w:space="0" w:color="auto"/>
        <w:bottom w:val="none" w:sz="0" w:space="0" w:color="auto"/>
        <w:right w:val="none" w:sz="0" w:space="0" w:color="auto"/>
      </w:divBdr>
    </w:div>
    <w:div w:id="1498419407">
      <w:bodyDiv w:val="1"/>
      <w:marLeft w:val="0"/>
      <w:marRight w:val="0"/>
      <w:marTop w:val="0"/>
      <w:marBottom w:val="0"/>
      <w:divBdr>
        <w:top w:val="none" w:sz="0" w:space="0" w:color="auto"/>
        <w:left w:val="none" w:sz="0" w:space="0" w:color="auto"/>
        <w:bottom w:val="none" w:sz="0" w:space="0" w:color="auto"/>
        <w:right w:val="none" w:sz="0" w:space="0" w:color="auto"/>
      </w:divBdr>
    </w:div>
    <w:div w:id="1514145418">
      <w:bodyDiv w:val="1"/>
      <w:marLeft w:val="0"/>
      <w:marRight w:val="0"/>
      <w:marTop w:val="0"/>
      <w:marBottom w:val="0"/>
      <w:divBdr>
        <w:top w:val="none" w:sz="0" w:space="0" w:color="auto"/>
        <w:left w:val="none" w:sz="0" w:space="0" w:color="auto"/>
        <w:bottom w:val="none" w:sz="0" w:space="0" w:color="auto"/>
        <w:right w:val="none" w:sz="0" w:space="0" w:color="auto"/>
      </w:divBdr>
    </w:div>
    <w:div w:id="1673795088">
      <w:bodyDiv w:val="1"/>
      <w:marLeft w:val="0"/>
      <w:marRight w:val="0"/>
      <w:marTop w:val="0"/>
      <w:marBottom w:val="0"/>
      <w:divBdr>
        <w:top w:val="none" w:sz="0" w:space="0" w:color="auto"/>
        <w:left w:val="none" w:sz="0" w:space="0" w:color="auto"/>
        <w:bottom w:val="none" w:sz="0" w:space="0" w:color="auto"/>
        <w:right w:val="none" w:sz="0" w:space="0" w:color="auto"/>
      </w:divBdr>
    </w:div>
    <w:div w:id="1690256151">
      <w:bodyDiv w:val="1"/>
      <w:marLeft w:val="0"/>
      <w:marRight w:val="0"/>
      <w:marTop w:val="0"/>
      <w:marBottom w:val="0"/>
      <w:divBdr>
        <w:top w:val="none" w:sz="0" w:space="0" w:color="auto"/>
        <w:left w:val="none" w:sz="0" w:space="0" w:color="auto"/>
        <w:bottom w:val="none" w:sz="0" w:space="0" w:color="auto"/>
        <w:right w:val="none" w:sz="0" w:space="0" w:color="auto"/>
      </w:divBdr>
    </w:div>
    <w:div w:id="1770000648">
      <w:bodyDiv w:val="1"/>
      <w:marLeft w:val="0"/>
      <w:marRight w:val="0"/>
      <w:marTop w:val="0"/>
      <w:marBottom w:val="0"/>
      <w:divBdr>
        <w:top w:val="none" w:sz="0" w:space="0" w:color="auto"/>
        <w:left w:val="none" w:sz="0" w:space="0" w:color="auto"/>
        <w:bottom w:val="none" w:sz="0" w:space="0" w:color="auto"/>
        <w:right w:val="none" w:sz="0" w:space="0" w:color="auto"/>
      </w:divBdr>
    </w:div>
    <w:div w:id="1798176970">
      <w:bodyDiv w:val="1"/>
      <w:marLeft w:val="0"/>
      <w:marRight w:val="0"/>
      <w:marTop w:val="0"/>
      <w:marBottom w:val="0"/>
      <w:divBdr>
        <w:top w:val="none" w:sz="0" w:space="0" w:color="auto"/>
        <w:left w:val="none" w:sz="0" w:space="0" w:color="auto"/>
        <w:bottom w:val="none" w:sz="0" w:space="0" w:color="auto"/>
        <w:right w:val="none" w:sz="0" w:space="0" w:color="auto"/>
      </w:divBdr>
    </w:div>
    <w:div w:id="1897813495">
      <w:bodyDiv w:val="1"/>
      <w:marLeft w:val="0"/>
      <w:marRight w:val="0"/>
      <w:marTop w:val="0"/>
      <w:marBottom w:val="0"/>
      <w:divBdr>
        <w:top w:val="none" w:sz="0" w:space="0" w:color="auto"/>
        <w:left w:val="none" w:sz="0" w:space="0" w:color="auto"/>
        <w:bottom w:val="none" w:sz="0" w:space="0" w:color="auto"/>
        <w:right w:val="none" w:sz="0" w:space="0" w:color="auto"/>
      </w:divBdr>
    </w:div>
    <w:div w:id="1936933185">
      <w:bodyDiv w:val="1"/>
      <w:marLeft w:val="0"/>
      <w:marRight w:val="0"/>
      <w:marTop w:val="0"/>
      <w:marBottom w:val="0"/>
      <w:divBdr>
        <w:top w:val="none" w:sz="0" w:space="0" w:color="auto"/>
        <w:left w:val="none" w:sz="0" w:space="0" w:color="auto"/>
        <w:bottom w:val="none" w:sz="0" w:space="0" w:color="auto"/>
        <w:right w:val="none" w:sz="0" w:space="0" w:color="auto"/>
      </w:divBdr>
    </w:div>
    <w:div w:id="19816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ourkik.com/en/expertise/quantitative-research/cati-interview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64157/4392716/ESS-QAF-V1-2final.pdf/bbf5970c-1adf-46c8-afc3-58ce177a0646" TargetMode="External"/><Relationship Id="rId2" Type="http://schemas.openxmlformats.org/officeDocument/2006/relationships/hyperlink" Target="https://www.pcbs.gov.ps/Downloads/book2562.pdf" TargetMode="External"/><Relationship Id="rId1" Type="http://schemas.openxmlformats.org/officeDocument/2006/relationships/hyperlink" Target="https://www.pcbs.gov.ps/Downloads/book2554.pdf" TargetMode="External"/><Relationship Id="rId5" Type="http://schemas.openxmlformats.org/officeDocument/2006/relationships/hyperlink" Target="https://ndqf.in/wp-content/uploads/2021/07/National-Guidelines-for-DATA-QUALITY-in-Surveys.pdf" TargetMode="External"/><Relationship Id="rId4" Type="http://schemas.openxmlformats.org/officeDocument/2006/relationships/hyperlink" Target="https://ec.europa.eu/eurostat/web/products-catalogues/-/KS-02-18-14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mro\Documents\&#1576;&#1610;&#1575;&#1606;&#1575;&#1578;%20&#1575;&#1604;&#1580;&#1607;&#1575;&#1586;%20&#1575;&#1604;&#1602;&#1583;&#1610;&#1605;\Documents\Aya\Poland%202022\&#1605;&#1608;&#1575;&#1583;%20&#1575;&#1604;&#1583;&#1585;&#1575;&#1587;&#1577;\Radar%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mro\Documents\&#1576;&#1610;&#1575;&#1606;&#1575;&#1578;%20&#1575;&#1604;&#1580;&#1607;&#1575;&#1586;%20&#1575;&#1604;&#1602;&#1583;&#1610;&#1605;\Documents\Aya\Poland%202022\&#1605;&#1608;&#1575;&#1583;%20&#1575;&#1604;&#1583;&#1585;&#1575;&#1587;&#1577;\Radar%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Sheet1!$A$6</c:f>
              <c:strCache>
                <c:ptCount val="1"/>
                <c:pt idx="0">
                  <c:v>COVID-19 2020 1st Cycle</c:v>
                </c:pt>
              </c:strCache>
            </c:strRef>
          </c:tx>
          <c:spPr>
            <a:solidFill>
              <a:schemeClr val="accent2">
                <a:alpha val="50196"/>
              </a:schemeClr>
            </a:solidFill>
            <a:ln w="25400">
              <a:solidFill>
                <a:schemeClr val="accent2"/>
              </a:solidFill>
              <a:prstDash val="sysDot"/>
            </a:ln>
            <a:effectLst/>
          </c:spPr>
          <c:cat>
            <c:strRef>
              <c:f>Sheet1!$B$5:$H$5</c:f>
              <c:strCache>
                <c:ptCount val="7"/>
                <c:pt idx="0">
                  <c:v>Over coverage</c:v>
                </c:pt>
                <c:pt idx="1">
                  <c:v>Under coverage</c:v>
                </c:pt>
                <c:pt idx="2">
                  <c:v>Classifications uesd</c:v>
                </c:pt>
                <c:pt idx="3">
                  <c:v>Total non-Response</c:v>
                </c:pt>
                <c:pt idx="4">
                  <c:v>Partial non-response</c:v>
                </c:pt>
                <c:pt idx="5">
                  <c:v>Auditing of raw data</c:v>
                </c:pt>
                <c:pt idx="6">
                  <c:v>Coeffictient of Variations</c:v>
                </c:pt>
              </c:strCache>
            </c:strRef>
          </c:cat>
          <c:val>
            <c:numRef>
              <c:f>Sheet1!$B$6:$H$6</c:f>
              <c:numCache>
                <c:formatCode>General</c:formatCode>
                <c:ptCount val="7"/>
                <c:pt idx="0">
                  <c:v>4</c:v>
                </c:pt>
                <c:pt idx="1">
                  <c:v>5</c:v>
                </c:pt>
                <c:pt idx="2">
                  <c:v>5</c:v>
                </c:pt>
                <c:pt idx="3">
                  <c:v>3</c:v>
                </c:pt>
                <c:pt idx="4">
                  <c:v>5</c:v>
                </c:pt>
                <c:pt idx="5">
                  <c:v>5</c:v>
                </c:pt>
                <c:pt idx="6">
                  <c:v>5</c:v>
                </c:pt>
              </c:numCache>
            </c:numRef>
          </c:val>
          <c:extLst>
            <c:ext xmlns:c16="http://schemas.microsoft.com/office/drawing/2014/chart" uri="{C3380CC4-5D6E-409C-BE32-E72D297353CC}">
              <c16:uniqueId val="{00000000-85E3-4769-AA5F-EC0B6DCA12EE}"/>
            </c:ext>
          </c:extLst>
        </c:ser>
        <c:ser>
          <c:idx val="1"/>
          <c:order val="1"/>
          <c:tx>
            <c:strRef>
              <c:f>Sheet1!$A$7</c:f>
              <c:strCache>
                <c:ptCount val="1"/>
                <c:pt idx="0">
                  <c:v>COVID-19 2020 2nd Cycle</c:v>
                </c:pt>
              </c:strCache>
            </c:strRef>
          </c:tx>
          <c:spPr>
            <a:solidFill>
              <a:schemeClr val="accent6">
                <a:lumMod val="40000"/>
                <a:lumOff val="60000"/>
                <a:alpha val="70000"/>
              </a:schemeClr>
            </a:solidFill>
            <a:ln w="25400">
              <a:solidFill>
                <a:schemeClr val="accent6"/>
              </a:solidFill>
              <a:prstDash val="sysDot"/>
            </a:ln>
            <a:effectLst/>
          </c:spPr>
          <c:cat>
            <c:strRef>
              <c:f>Sheet1!$B$5:$H$5</c:f>
              <c:strCache>
                <c:ptCount val="7"/>
                <c:pt idx="0">
                  <c:v>Over coverage</c:v>
                </c:pt>
                <c:pt idx="1">
                  <c:v>Under coverage</c:v>
                </c:pt>
                <c:pt idx="2">
                  <c:v>Classifications uesd</c:v>
                </c:pt>
                <c:pt idx="3">
                  <c:v>Total non-Response</c:v>
                </c:pt>
                <c:pt idx="4">
                  <c:v>Partial non-response</c:v>
                </c:pt>
                <c:pt idx="5">
                  <c:v>Auditing of raw data</c:v>
                </c:pt>
                <c:pt idx="6">
                  <c:v>Coeffictient of Variations</c:v>
                </c:pt>
              </c:strCache>
            </c:strRef>
          </c:cat>
          <c:val>
            <c:numRef>
              <c:f>Sheet1!$B$7:$H$7</c:f>
              <c:numCache>
                <c:formatCode>General</c:formatCode>
                <c:ptCount val="7"/>
                <c:pt idx="0">
                  <c:v>2</c:v>
                </c:pt>
                <c:pt idx="1">
                  <c:v>5</c:v>
                </c:pt>
                <c:pt idx="2">
                  <c:v>5</c:v>
                </c:pt>
                <c:pt idx="3">
                  <c:v>3</c:v>
                </c:pt>
                <c:pt idx="4">
                  <c:v>5</c:v>
                </c:pt>
                <c:pt idx="5">
                  <c:v>5</c:v>
                </c:pt>
                <c:pt idx="6">
                  <c:v>4</c:v>
                </c:pt>
              </c:numCache>
            </c:numRef>
          </c:val>
          <c:extLst>
            <c:ext xmlns:c16="http://schemas.microsoft.com/office/drawing/2014/chart" uri="{C3380CC4-5D6E-409C-BE32-E72D297353CC}">
              <c16:uniqueId val="{00000001-85E3-4769-AA5F-EC0B6DCA12EE}"/>
            </c:ext>
          </c:extLst>
        </c:ser>
        <c:dLbls>
          <c:showLegendKey val="0"/>
          <c:showVal val="0"/>
          <c:showCatName val="0"/>
          <c:showSerName val="0"/>
          <c:showPercent val="0"/>
          <c:showBubbleSize val="0"/>
        </c:dLbls>
        <c:axId val="464890224"/>
        <c:axId val="464892520"/>
      </c:radarChart>
      <c:catAx>
        <c:axId val="46489022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4892520"/>
        <c:crosses val="autoZero"/>
        <c:auto val="1"/>
        <c:lblAlgn val="ctr"/>
        <c:lblOffset val="100"/>
        <c:noMultiLvlLbl val="0"/>
      </c:catAx>
      <c:valAx>
        <c:axId val="464892520"/>
        <c:scaling>
          <c:orientation val="minMax"/>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6489022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Sheet1!$A$2</c:f>
              <c:strCache>
                <c:ptCount val="1"/>
                <c:pt idx="0">
                  <c:v>LFS 2019</c:v>
                </c:pt>
              </c:strCache>
            </c:strRef>
          </c:tx>
          <c:spPr>
            <a:solidFill>
              <a:schemeClr val="accent6">
                <a:alpha val="50196"/>
              </a:schemeClr>
            </a:solidFill>
            <a:ln w="25400">
              <a:solidFill>
                <a:schemeClr val="accent6"/>
              </a:solidFill>
              <a:prstDash val="sysDot"/>
            </a:ln>
            <a:effectLst/>
          </c:spPr>
          <c:cat>
            <c:strRef>
              <c:f>Sheet1!$B$1:$H$1</c:f>
              <c:strCache>
                <c:ptCount val="7"/>
                <c:pt idx="0">
                  <c:v>Over coverage</c:v>
                </c:pt>
                <c:pt idx="1">
                  <c:v>Under coverage</c:v>
                </c:pt>
                <c:pt idx="2">
                  <c:v>Classifications uesd</c:v>
                </c:pt>
                <c:pt idx="3">
                  <c:v>Total non-Response</c:v>
                </c:pt>
                <c:pt idx="4">
                  <c:v>Partial non-response</c:v>
                </c:pt>
                <c:pt idx="5">
                  <c:v>Auditing of raw data</c:v>
                </c:pt>
                <c:pt idx="6">
                  <c:v>Coeffictient of Variations</c:v>
                </c:pt>
              </c:strCache>
            </c:strRef>
          </c:cat>
          <c:val>
            <c:numRef>
              <c:f>Sheet1!$B$2:$H$2</c:f>
              <c:numCache>
                <c:formatCode>0</c:formatCode>
                <c:ptCount val="7"/>
                <c:pt idx="0">
                  <c:v>3</c:v>
                </c:pt>
                <c:pt idx="1">
                  <c:v>4</c:v>
                </c:pt>
                <c:pt idx="2">
                  <c:v>5</c:v>
                </c:pt>
                <c:pt idx="3">
                  <c:v>3</c:v>
                </c:pt>
                <c:pt idx="4">
                  <c:v>5</c:v>
                </c:pt>
                <c:pt idx="5">
                  <c:v>5</c:v>
                </c:pt>
                <c:pt idx="6">
                  <c:v>5</c:v>
                </c:pt>
              </c:numCache>
            </c:numRef>
          </c:val>
          <c:extLst>
            <c:ext xmlns:c16="http://schemas.microsoft.com/office/drawing/2014/chart" uri="{C3380CC4-5D6E-409C-BE32-E72D297353CC}">
              <c16:uniqueId val="{00000000-DA2E-4246-8C44-138B8A98A37E}"/>
            </c:ext>
          </c:extLst>
        </c:ser>
        <c:ser>
          <c:idx val="1"/>
          <c:order val="1"/>
          <c:tx>
            <c:strRef>
              <c:f>Sheet1!$A$3</c:f>
              <c:strCache>
                <c:ptCount val="1"/>
                <c:pt idx="0">
                  <c:v>LFS 2020</c:v>
                </c:pt>
              </c:strCache>
            </c:strRef>
          </c:tx>
          <c:spPr>
            <a:solidFill>
              <a:schemeClr val="accent5">
                <a:alpha val="50196"/>
              </a:schemeClr>
            </a:solidFill>
            <a:ln w="25400">
              <a:solidFill>
                <a:schemeClr val="accent5"/>
              </a:solidFill>
              <a:prstDash val="sysDot"/>
            </a:ln>
            <a:effectLst/>
          </c:spPr>
          <c:cat>
            <c:strRef>
              <c:f>Sheet1!$B$1:$H$1</c:f>
              <c:strCache>
                <c:ptCount val="7"/>
                <c:pt idx="0">
                  <c:v>Over coverage</c:v>
                </c:pt>
                <c:pt idx="1">
                  <c:v>Under coverage</c:v>
                </c:pt>
                <c:pt idx="2">
                  <c:v>Classifications uesd</c:v>
                </c:pt>
                <c:pt idx="3">
                  <c:v>Total non-Response</c:v>
                </c:pt>
                <c:pt idx="4">
                  <c:v>Partial non-response</c:v>
                </c:pt>
                <c:pt idx="5">
                  <c:v>Auditing of raw data</c:v>
                </c:pt>
                <c:pt idx="6">
                  <c:v>Coeffictient of Variations</c:v>
                </c:pt>
              </c:strCache>
            </c:strRef>
          </c:cat>
          <c:val>
            <c:numRef>
              <c:f>Sheet1!$B$3:$H$3</c:f>
              <c:numCache>
                <c:formatCode>0</c:formatCode>
                <c:ptCount val="7"/>
                <c:pt idx="0">
                  <c:v>3</c:v>
                </c:pt>
                <c:pt idx="1">
                  <c:v>5</c:v>
                </c:pt>
                <c:pt idx="2">
                  <c:v>5</c:v>
                </c:pt>
                <c:pt idx="3">
                  <c:v>1</c:v>
                </c:pt>
                <c:pt idx="4">
                  <c:v>5</c:v>
                </c:pt>
                <c:pt idx="5">
                  <c:v>5</c:v>
                </c:pt>
                <c:pt idx="6">
                  <c:v>5</c:v>
                </c:pt>
              </c:numCache>
            </c:numRef>
          </c:val>
          <c:extLst>
            <c:ext xmlns:c16="http://schemas.microsoft.com/office/drawing/2014/chart" uri="{C3380CC4-5D6E-409C-BE32-E72D297353CC}">
              <c16:uniqueId val="{00000001-DA2E-4246-8C44-138B8A98A37E}"/>
            </c:ext>
          </c:extLst>
        </c:ser>
        <c:dLbls>
          <c:showLegendKey val="0"/>
          <c:showVal val="0"/>
          <c:showCatName val="0"/>
          <c:showSerName val="0"/>
          <c:showPercent val="0"/>
          <c:showBubbleSize val="0"/>
        </c:dLbls>
        <c:axId val="510034360"/>
        <c:axId val="510032064"/>
      </c:radarChart>
      <c:catAx>
        <c:axId val="51003436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032064"/>
        <c:crosses val="autoZero"/>
        <c:auto val="1"/>
        <c:lblAlgn val="ctr"/>
        <c:lblOffset val="100"/>
        <c:noMultiLvlLbl val="0"/>
      </c:catAx>
      <c:valAx>
        <c:axId val="510032064"/>
        <c:scaling>
          <c:orientation val="minMax"/>
        </c:scaling>
        <c:delete val="0"/>
        <c:axPos val="l"/>
        <c:majorGridlines>
          <c:spPr>
            <a:ln w="9525" cap="flat" cmpd="sng" algn="ctr">
              <a:solidFill>
                <a:schemeClr val="tx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034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Sid13</b:Tag>
    <b:SourceType>ArticleInAPeriodical</b:SourceType>
    <b:Guid>{78F37D89-CAE2-4295-A122-5941BA2D24B9}</b:Guid>
    <b:Title>Data Quality:A Survey of Data Quality Dimensions</b:Title>
    <b:Year>2013</b:Year>
    <b:Author>
      <b:Author>
        <b:NameList>
          <b:Person>
            <b:Last>Sidi</b:Last>
            <b:First>Fatima</b:First>
          </b:Person>
        </b:NameList>
      </b:Author>
    </b:Author>
    <b:Month>August</b:Month>
    <b:RefOrder>3</b:RefOrder>
  </b:Source>
  <b:Source>
    <b:Tag>Ali17</b:Tag>
    <b:SourceType>Report</b:SourceType>
    <b:Guid>{3C2A5956-6C24-40DE-A2B6-C3BD38D77639}</b:Guid>
    <b:Title>Quality Indicators for the Generic Statistical Business</b:Title>
    <b:Year>2017</b:Year>
    <b:Author>
      <b:Author>
        <b:Corporate>Alice Born and Laurie Reedman (Statistics Canada);</b:Corporate>
      </b:Author>
    </b:Author>
    <b:RefOrder>6</b:RefOrder>
  </b:Source>
  <b:Source>
    <b:Tag>Qin12</b:Tag>
    <b:SourceType>ArticleInAPeriodical</b:SourceType>
    <b:Guid>{69E1C6BB-6FD2-4FA4-8E6D-D30169099112}</b:Guid>
    <b:Author>
      <b:Author>
        <b:NameList>
          <b:Person>
            <b:Last>Liu</b:Last>
            <b:First>Qin</b:First>
          </b:Person>
        </b:NameList>
      </b:Author>
    </b:Author>
    <b:Title>A Survey Data Quality Strategy: The institusional Reasearch Perspective</b:Title>
    <b:Year>2012</b:Year>
    <b:RefOrder>4</b:RefOrder>
  </b:Source>
  <b:Source>
    <b:Tag>Edi08</b:Tag>
    <b:SourceType>ArticleInAPeriodical</b:SourceType>
    <b:Guid>{054906BD-655C-44AB-852E-FABABB82500F}</b:Guid>
    <b:Title>The Effect of Computer-Assisted Interviewing on Data Quality: A Review of the Evidence.</b:Title>
    <b:Year>2008</b:Year>
    <b:Author>
      <b:Author>
        <b:NameList>
          <b:Person>
            <b:Last>Leeuw</b:Last>
            <b:First>Edith</b:First>
            <b:Middle>D. de</b:Middle>
          </b:Person>
        </b:NameList>
      </b:Author>
    </b:Author>
    <b:RefOrder>1</b:RefOrder>
  </b:Source>
  <b:Source>
    <b:Tag>Uni19</b:Tag>
    <b:SourceType>ArticleInAPeriodical</b:SourceType>
    <b:Guid>{1A626943-1DAE-46E9-8821-82049594E57F}</b:Guid>
    <b:Author>
      <b:Author>
        <b:NameList>
          <b:Person>
            <b:Last>(UNSD)</b:Last>
            <b:First>United</b:First>
            <b:Middle>Nations Statistics Division</b:Middle>
          </b:Person>
        </b:NameList>
      </b:Author>
    </b:Author>
    <b:Title>open data practices in official statistics and their correspondence to the Fundamental Principles of Official Statistics</b:Title>
    <b:Year>2019</b:Year>
    <b:Month>March</b:Month>
    <b:RefOrder>5</b:RefOrder>
  </b:Source>
  <b:Source>
    <b:Tag>Eur17</b:Tag>
    <b:SourceType>Report</b:SourceType>
    <b:Guid>{B86F5F4F-DBEB-41A7-B200-665177A945DD}</b:Guid>
    <b:Title>CoP</b:Title>
    <b:Year>2017</b:Year>
    <b:Author>
      <b:Author>
        <b:NameList>
          <b:Person>
            <b:Last>Committee</b:Last>
            <b:First>European</b:First>
            <b:Middle>Statistical System</b:Middle>
          </b:Person>
        </b:NameList>
      </b:Author>
    </b:Author>
    <b:RefOrder>2</b:RefOrder>
  </b:Source>
</b:Sources>
</file>

<file path=customXml/itemProps1.xml><?xml version="1.0" encoding="utf-8"?>
<ds:datastoreItem xmlns:ds="http://schemas.openxmlformats.org/officeDocument/2006/customXml" ds:itemID="{47A6C625-2B6F-4A0C-A252-A6DC68F0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10</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97059</dc:creator>
  <cp:keywords/>
  <dc:description/>
  <cp:lastModifiedBy>Aya Amro</cp:lastModifiedBy>
  <cp:revision>58</cp:revision>
  <cp:lastPrinted>2022-03-15T12:23:00Z</cp:lastPrinted>
  <dcterms:created xsi:type="dcterms:W3CDTF">2022-03-14T06:58:00Z</dcterms:created>
  <dcterms:modified xsi:type="dcterms:W3CDTF">2022-04-12T09:08:00Z</dcterms:modified>
</cp:coreProperties>
</file>